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5"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R4-2305398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bookmarkEnd w:id="5"/>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w:t>
      </w:r>
      <w:r>
        <w:rPr>
          <w:rFonts w:hint="eastAsia" w:ascii="Arial" w:hAnsi="Arial" w:cs="Arial"/>
          <w:b/>
          <w:sz w:val="24"/>
          <w:szCs w:val="24"/>
        </w:rPr>
        <w:t>.</w:t>
      </w:r>
      <w:r>
        <w:rPr>
          <w:rFonts w:hint="eastAsia" w:ascii="Arial" w:hAnsi="Arial" w:cs="Arial"/>
          <w:b/>
          <w:sz w:val="24"/>
          <w:szCs w:val="24"/>
          <w:lang w:val="en-US" w:eastAsia="zh-CN"/>
        </w:rPr>
        <w:t>23</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w:t>
      </w:r>
      <w:r>
        <w:rPr>
          <w:rFonts w:hint="eastAsia" w:ascii="Arial" w:hAnsi="Arial" w:cs="Arial"/>
          <w:b/>
          <w:sz w:val="24"/>
          <w:szCs w:val="24"/>
        </w:rPr>
        <w:t xml:space="preserve">iscussion on </w:t>
      </w:r>
      <w:r>
        <w:rPr>
          <w:rFonts w:hint="eastAsia" w:ascii="Arial" w:hAnsi="Arial" w:cs="Arial"/>
          <w:b/>
          <w:sz w:val="24"/>
          <w:szCs w:val="24"/>
          <w:lang w:val="en-US" w:eastAsia="zh-CN"/>
        </w:rPr>
        <w:t>RF requirements for bandwidth aggregated based positioning</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tabs>
          <w:tab w:val="left" w:pos="2127"/>
        </w:tabs>
        <w:rPr>
          <w:rFonts w:hint="default"/>
          <w:sz w:val="20"/>
          <w:szCs w:val="20"/>
          <w:lang w:val="en-US" w:eastAsia="zh-CN"/>
        </w:rPr>
      </w:pPr>
      <w:r>
        <w:rPr>
          <w:rFonts w:hint="eastAsia"/>
        </w:rPr>
        <w:t>In RAN#9</w:t>
      </w:r>
      <w:r>
        <w:rPr>
          <w:rFonts w:hint="eastAsia"/>
          <w:lang w:val="en-US" w:eastAsia="zh-CN"/>
        </w:rPr>
        <w:t>8</w:t>
      </w:r>
      <w:r>
        <w:rPr>
          <w:rFonts w:hint="eastAsia"/>
        </w:rPr>
        <w:t>e meeting,</w:t>
      </w:r>
      <w:r>
        <w:rPr>
          <w:rFonts w:hint="eastAsia"/>
          <w:lang w:val="en-US" w:eastAsia="zh-CN"/>
        </w:rPr>
        <w:t xml:space="preserve"> the n</w:t>
      </w:r>
      <w:r>
        <w:rPr>
          <w:rFonts w:hint="eastAsia"/>
          <w:sz w:val="20"/>
          <w:szCs w:val="20"/>
          <w:lang w:eastAsia="zh-CN"/>
        </w:rPr>
        <w:t>ew WID on Expanded and Improved NR Positioning</w:t>
      </w:r>
      <w:r>
        <w:rPr>
          <w:rFonts w:hint="eastAsia"/>
          <w:sz w:val="20"/>
          <w:szCs w:val="20"/>
          <w:lang w:val="en-US" w:eastAsia="zh-CN"/>
        </w:rPr>
        <w:t xml:space="preserve"> [1] was approved including lots of objectives. In this contribution, there were some initial discussions for RF requirements from BS and UE perspective, however there were no consensus reached during the last RAN4 meeting, In this contribution, we share our analysis and views again for further discussions.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textAlignment w:val="auto"/>
              <w:rPr>
                <w:rFonts w:hint="default"/>
                <w:b/>
                <w:lang w:val="en-US" w:eastAsia="zh-CN"/>
              </w:rPr>
            </w:pPr>
            <w:r>
              <w:rPr>
                <w:rFonts w:hint="eastAsia"/>
                <w:b/>
                <w:lang w:val="en-US" w:eastAsia="zh-CN"/>
              </w:rPr>
              <w:t>6.2.1.1. RF aspects [TR38.859]:</w:t>
            </w:r>
          </w:p>
          <w:p>
            <w:r>
              <w:t>RF aspects of PRS/SRS bandwidth aggregation for intra-band contiguous carriers is studied by RAN4. Based on the study, PRS/SRS bandwidth aggregation for intra-band contiguous carriers is concluded as feasible for single chain Tx/Rx architectures at both the UE and gNB.</w:t>
            </w:r>
          </w:p>
          <w:p>
            <w:pPr>
              <w:rPr>
                <w:rFonts w:hint="eastAsia"/>
                <w:sz w:val="20"/>
                <w:szCs w:val="20"/>
                <w:vertAlign w:val="baseline"/>
                <w:lang w:val="en-US" w:eastAsia="zh-CN"/>
              </w:rPr>
            </w:pPr>
            <w:r>
              <w:t>The assumption for a single-chain Tx architecture is that PRS/SRS resources to be aggregated are transmitted from a single Tx antenna.</w:t>
            </w:r>
          </w:p>
        </w:tc>
      </w:tr>
    </w:tbl>
    <w:p>
      <w:pPr>
        <w:pBdr>
          <w:top w:val="none" w:color="auto" w:sz="0" w:space="0"/>
          <w:left w:val="none" w:color="auto" w:sz="0" w:space="0"/>
          <w:bottom w:val="none" w:color="auto" w:sz="0" w:space="0"/>
          <w:right w:val="none" w:color="auto" w:sz="0" w:space="0"/>
          <w:between w:val="none" w:color="auto" w:sz="0" w:space="0"/>
        </w:pBdr>
        <w:tabs>
          <w:tab w:val="left" w:pos="2127"/>
        </w:tabs>
        <w:rPr>
          <w:rFonts w:hint="eastAsia"/>
          <w:sz w:val="20"/>
          <w:szCs w:val="20"/>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textAlignment w:val="auto"/>
              <w:rPr>
                <w:b/>
                <w:lang w:eastAsia="zh-CN"/>
              </w:rPr>
            </w:pPr>
            <w:r>
              <w:rPr>
                <w:b/>
                <w:lang w:eastAsia="zh-CN"/>
              </w:rPr>
              <w:t>Way Forward:</w:t>
            </w:r>
          </w:p>
          <w:p>
            <w:pPr>
              <w:keepNext w:val="0"/>
              <w:keepLines w:val="0"/>
              <w:pageBreakBefore w:val="0"/>
              <w:widowControl w:val="0"/>
              <w:numPr>
                <w:ilvl w:val="0"/>
                <w:numId w:val="2"/>
              </w:numPr>
              <w:kinsoku/>
              <w:wordWrap/>
              <w:overflowPunct/>
              <w:topLinePunct w:val="0"/>
              <w:autoSpaceDE/>
              <w:autoSpaceDN/>
              <w:bidi w:val="0"/>
              <w:adjustRightInd/>
              <w:snapToGrid/>
              <w:ind w:left="420" w:hanging="420"/>
              <w:jc w:val="both"/>
              <w:textAlignment w:val="auto"/>
              <w:rPr>
                <w:lang w:eastAsia="zh-CN"/>
              </w:rPr>
            </w:pPr>
            <w:r>
              <w:rPr>
                <w:lang w:eastAsia="zh-CN"/>
              </w:rPr>
              <w:t>Consider</w:t>
            </w:r>
            <w:r>
              <w:t xml:space="preserve"> conclusions in TR 38.859 and further discuss RF impairment modelling, if needed</w:t>
            </w:r>
          </w:p>
          <w:p>
            <w:pPr>
              <w:keepNext w:val="0"/>
              <w:keepLines w:val="0"/>
              <w:pageBreakBefore w:val="0"/>
              <w:widowControl w:val="0"/>
              <w:numPr>
                <w:ilvl w:val="0"/>
                <w:numId w:val="2"/>
              </w:numPr>
              <w:kinsoku/>
              <w:wordWrap/>
              <w:overflowPunct/>
              <w:topLinePunct w:val="0"/>
              <w:autoSpaceDE/>
              <w:autoSpaceDN/>
              <w:bidi w:val="0"/>
              <w:adjustRightInd/>
              <w:snapToGrid/>
              <w:ind w:left="420" w:hanging="420"/>
              <w:jc w:val="both"/>
              <w:textAlignment w:val="auto"/>
              <w:rPr>
                <w:rFonts w:hint="eastAsia"/>
                <w:sz w:val="20"/>
                <w:szCs w:val="20"/>
                <w:vertAlign w:val="baseline"/>
                <w:lang w:val="en-US" w:eastAsia="zh-CN"/>
              </w:rPr>
            </w:pPr>
            <w:r>
              <w:rPr>
                <w:lang w:eastAsia="zh-CN"/>
              </w:rPr>
              <w:t>Identify and discuss potential RF requirement impact</w:t>
            </w:r>
          </w:p>
        </w:tc>
      </w:tr>
    </w:tbl>
    <w:p>
      <w:pPr>
        <w:pBdr>
          <w:top w:val="none" w:color="auto" w:sz="0" w:space="0"/>
          <w:left w:val="none" w:color="auto" w:sz="0" w:space="0"/>
          <w:bottom w:val="none" w:color="auto" w:sz="0" w:space="0"/>
          <w:right w:val="none" w:color="auto" w:sz="0" w:space="0"/>
          <w:between w:val="none" w:color="auto" w:sz="0" w:space="0"/>
        </w:pBdr>
        <w:tabs>
          <w:tab w:val="left" w:pos="2127"/>
        </w:tabs>
        <w:rPr>
          <w:rFonts w:hint="eastAsia"/>
          <w:sz w:val="20"/>
          <w:szCs w:val="20"/>
          <w:lang w:val="en-US" w:eastAsia="zh-CN"/>
        </w:rPr>
      </w:pPr>
    </w:p>
    <w:p>
      <w:pPr>
        <w:pStyle w:val="52"/>
        <w:tabs>
          <w:tab w:val="left" w:pos="567"/>
          <w:tab w:val="clear" w:pos="1985"/>
        </w:tabs>
        <w:adjustRightInd w:val="0"/>
        <w:ind w:left="510" w:hanging="510"/>
      </w:pPr>
      <w:r>
        <w:rPr>
          <w:rFonts w:hint="eastAsia"/>
        </w:rPr>
        <w:t xml:space="preserve">Discussion </w:t>
      </w:r>
      <w:bookmarkStart w:id="1" w:name="OLE_LINK13"/>
      <w:bookmarkStart w:id="2" w:name="OLE_LINK20"/>
      <w:bookmarkStart w:id="3" w:name="OLE_LINK10"/>
      <w:bookmarkStart w:id="4" w:name="OLE_LINK14"/>
      <w:r>
        <w:rPr>
          <w:rFonts w:hint="eastAsia" w:eastAsia="Times New Roman"/>
        </w:rPr>
        <w:t xml:space="preserve"> </w:t>
      </w:r>
    </w:p>
    <w:p>
      <w:pPr>
        <w:outlineLvl w:val="1"/>
        <w:rPr>
          <w:rFonts w:hint="default" w:ascii="Arial" w:hAnsi="Arial" w:eastAsia="宋体"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General principle</w:t>
      </w:r>
    </w:p>
    <w:p>
      <w:pPr>
        <w:pBdr>
          <w:top w:val="none" w:color="auto" w:sz="0" w:space="0"/>
          <w:left w:val="none" w:color="auto" w:sz="0" w:space="0"/>
          <w:bottom w:val="none" w:color="auto" w:sz="0" w:space="0"/>
          <w:right w:val="none" w:color="auto" w:sz="0" w:space="0"/>
          <w:between w:val="none" w:color="auto" w:sz="0" w:space="0"/>
        </w:pBdr>
        <w:tabs>
          <w:tab w:val="left" w:pos="2127"/>
        </w:tabs>
        <w:rPr>
          <w:rFonts w:hint="default"/>
          <w:sz w:val="20"/>
          <w:szCs w:val="20"/>
          <w:lang w:val="en-US" w:eastAsia="zh-CN"/>
        </w:rPr>
      </w:pPr>
      <w:r>
        <w:rPr>
          <w:rFonts w:hint="eastAsia"/>
          <w:sz w:val="20"/>
          <w:szCs w:val="20"/>
          <w:lang w:val="en-US" w:eastAsia="zh-CN"/>
        </w:rPr>
        <w:t xml:space="preserve">First of all, during the study item phase, it was well recognized that we need to focus on the single RF chain architecture for PRS and SRS resource aggregation in Rel-18 since multiple RF chain architecture will introduce the potential unacceptable timing error and result in the even worse positioning accuracy performance compared with its performance based on single carrier case. Even for single RF chain architecture, companies also admit that there are still some timing difference among different component carriers due to the potential group delay of PA and analog filtering etc within RF chain. Indeed this aspect has already been considered in UE RRM requirement part and captured in TR 38.859. However in the last RAN4 meeting, it was agreed not to further discuss TAE for single chain architecture even though there are still some potential group delay existing among carriers within single RF chain architecture. </w:t>
      </w:r>
    </w:p>
    <w:p>
      <w:pPr>
        <w:rPr>
          <w:highlight w:val="green"/>
          <w:lang w:val="en-US" w:eastAsia="zh-CN"/>
        </w:rPr>
      </w:pPr>
      <w:r>
        <w:rPr>
          <w:b/>
          <w:highlight w:val="green"/>
          <w:lang w:val="en-US" w:eastAsia="zh-CN"/>
        </w:rPr>
        <w:t>Agreement:</w:t>
      </w:r>
      <w:r>
        <w:rPr>
          <w:highlight w:val="green"/>
          <w:lang w:val="en-US" w:eastAsia="zh-CN"/>
        </w:rPr>
        <w:t xml:space="preserve"> </w:t>
      </w:r>
    </w:p>
    <w:p>
      <w:pPr>
        <w:pStyle w:val="31"/>
        <w:numPr>
          <w:ilvl w:val="0"/>
          <w:numId w:val="3"/>
        </w:numPr>
        <w:rPr>
          <w:highlight w:val="green"/>
        </w:rPr>
      </w:pPr>
      <w:r>
        <w:rPr>
          <w:highlight w:val="green"/>
        </w:rPr>
        <w:t>No need to discuss TAE for single RF chain architecture</w:t>
      </w:r>
    </w:p>
    <w:p>
      <w:pPr>
        <w:pStyle w:val="31"/>
        <w:numPr>
          <w:ilvl w:val="0"/>
          <w:numId w:val="4"/>
        </w:numPr>
        <w:overflowPunct w:val="0"/>
        <w:autoSpaceDE w:val="0"/>
        <w:autoSpaceDN w:val="0"/>
        <w:adjustRightInd w:val="0"/>
        <w:spacing w:after="180"/>
        <w:textAlignment w:val="baseline"/>
        <w:rPr>
          <w:rFonts w:eastAsia="MS Mincho"/>
          <w:szCs w:val="18"/>
        </w:rPr>
      </w:pPr>
      <w:r>
        <w:rPr>
          <w:rFonts w:hint="eastAsia"/>
          <w:highlight w:val="green"/>
        </w:rPr>
        <w:t>T</w:t>
      </w:r>
      <w:r>
        <w:rPr>
          <w:highlight w:val="green"/>
        </w:rPr>
        <w:t>AE refers the TAE requirements across carriers in BS specification.</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From the our understanding, it was obviously that the existing TAE requirement for intra-band contiguous CA in TS 38.104 is not applicable if BS is declared with </w:t>
      </w:r>
      <w:r>
        <w:rPr>
          <w:rFonts w:hint="eastAsia" w:cs="Times New Roman"/>
          <w:kern w:val="2"/>
          <w:sz w:val="20"/>
          <w:szCs w:val="20"/>
          <w:lang w:val="en-US" w:eastAsia="zh-CN" w:bidi="ar-SA"/>
        </w:rPr>
        <w:t>bandwidth aggregated</w:t>
      </w:r>
      <w:r>
        <w:rPr>
          <w:rFonts w:hint="eastAsia" w:ascii="Times New Roman" w:hAnsi="Times New Roman" w:eastAsia="宋体" w:cs="Times New Roman"/>
          <w:kern w:val="2"/>
          <w:sz w:val="20"/>
          <w:szCs w:val="20"/>
          <w:lang w:val="en-US" w:eastAsia="zh-CN" w:bidi="ar-SA"/>
        </w:rPr>
        <w:t xml:space="preserve"> based positioning functionality since 260ns TAE requirement for FR1 and 130ns TAE requirement for FR2</w:t>
      </w:r>
      <w:r>
        <w:rPr>
          <w:rFonts w:hint="eastAsia" w:cs="Times New Roman"/>
          <w:kern w:val="2"/>
          <w:sz w:val="20"/>
          <w:szCs w:val="20"/>
          <w:lang w:val="en-US" w:eastAsia="zh-CN" w:bidi="ar-SA"/>
        </w:rPr>
        <w:t>-1 and 32.5 for FR2-2</w:t>
      </w:r>
      <w:r>
        <w:rPr>
          <w:rFonts w:hint="eastAsia" w:ascii="Times New Roman" w:hAnsi="Times New Roman" w:eastAsia="宋体" w:cs="Times New Roman"/>
          <w:kern w:val="2"/>
          <w:sz w:val="20"/>
          <w:szCs w:val="20"/>
          <w:lang w:val="en-US" w:eastAsia="zh-CN" w:bidi="ar-SA"/>
        </w:rPr>
        <w:t xml:space="preserve"> should be not acceptable and </w:t>
      </w:r>
      <w:r>
        <w:rPr>
          <w:rFonts w:hint="eastAsia" w:cs="Times New Roman"/>
          <w:kern w:val="2"/>
          <w:sz w:val="20"/>
          <w:szCs w:val="20"/>
          <w:lang w:val="en-US" w:eastAsia="zh-CN" w:bidi="ar-SA"/>
        </w:rPr>
        <w:t xml:space="preserve">not </w:t>
      </w:r>
      <w:r>
        <w:rPr>
          <w:rFonts w:hint="eastAsia" w:ascii="Times New Roman" w:hAnsi="Times New Roman" w:eastAsia="宋体" w:cs="Times New Roman"/>
          <w:kern w:val="2"/>
          <w:sz w:val="20"/>
          <w:szCs w:val="20"/>
          <w:lang w:val="en-US" w:eastAsia="zh-CN" w:bidi="ar-SA"/>
        </w:rPr>
        <w:t>reasonable at all which will result in worse performance even compared with single carrier.</w:t>
      </w:r>
      <w:r>
        <w:rPr>
          <w:rFonts w:hint="eastAsia" w:cs="Times New Roman"/>
          <w:kern w:val="2"/>
          <w:sz w:val="20"/>
          <w:szCs w:val="20"/>
          <w:lang w:val="en-US" w:eastAsia="zh-CN" w:bidi="ar-SA"/>
        </w:rPr>
        <w:t xml:space="preserve"> </w:t>
      </w:r>
    </w:p>
    <w:p>
      <w:pPr>
        <w:pStyle w:val="31"/>
        <w:numPr>
          <w:ilvl w:val="0"/>
          <w:numId w:val="0"/>
        </w:numPr>
        <w:overflowPunct w:val="0"/>
        <w:autoSpaceDE w:val="0"/>
        <w:autoSpaceDN w:val="0"/>
        <w:adjustRightInd w:val="0"/>
        <w:spacing w:after="180"/>
        <w:textAlignment w:val="baseline"/>
        <w:rPr>
          <w:rFonts w:hint="default" w:eastAsia="宋体"/>
          <w:b/>
          <w:bCs/>
          <w:i/>
          <w:iCs/>
          <w:szCs w:val="18"/>
          <w:lang w:val="en-US" w:eastAsia="zh-CN"/>
        </w:rPr>
      </w:pPr>
      <w:r>
        <w:rPr>
          <w:rFonts w:hint="eastAsia" w:eastAsia="宋体"/>
          <w:b/>
          <w:bCs/>
          <w:i/>
          <w:iCs/>
          <w:szCs w:val="18"/>
          <w:lang w:val="en-US" w:eastAsia="zh-CN"/>
        </w:rPr>
        <w:t>For FR1 BS type 1-C/1-H/1-O [extracted from TS38.104 clause 6.5.3.2 ]:</w:t>
      </w:r>
    </w:p>
    <w:p>
      <w:pPr>
        <w:rPr>
          <w:highlight w:val="magenta"/>
        </w:rPr>
      </w:pPr>
      <w:r>
        <w:t xml:space="preserve">For </w:t>
      </w:r>
      <w:r>
        <w:rPr>
          <w:i/>
        </w:rPr>
        <w:t>intra-band contiguous carrier aggregation</w:t>
      </w:r>
      <w:r>
        <w:t>, with or without MIMO, TAE shall not exceed</w:t>
      </w:r>
      <w:r>
        <w:rPr>
          <w:lang w:eastAsia="zh-CN"/>
        </w:rPr>
        <w:t xml:space="preserve"> </w:t>
      </w:r>
      <w:r>
        <w:rPr>
          <w:highlight w:val="magenta"/>
          <w:lang w:eastAsia="zh-CN"/>
        </w:rPr>
        <w:t>260ns</w:t>
      </w:r>
      <w:r>
        <w:rPr>
          <w:highlight w:val="magenta"/>
        </w:rPr>
        <w:t>.</w:t>
      </w:r>
    </w:p>
    <w:p>
      <w:pPr>
        <w:rPr>
          <w:rFonts w:hint="eastAsia"/>
          <w:highlight w:val="magenta"/>
          <w:lang w:val="en-US" w:eastAsia="zh-CN"/>
        </w:rPr>
      </w:pPr>
    </w:p>
    <w:p>
      <w:pPr>
        <w:pStyle w:val="31"/>
        <w:numPr>
          <w:ilvl w:val="0"/>
          <w:numId w:val="0"/>
        </w:numPr>
        <w:overflowPunct w:val="0"/>
        <w:autoSpaceDE w:val="0"/>
        <w:autoSpaceDN w:val="0"/>
        <w:adjustRightInd w:val="0"/>
        <w:spacing w:after="180"/>
        <w:textAlignment w:val="baseline"/>
        <w:rPr>
          <w:rFonts w:hint="default" w:eastAsia="宋体"/>
          <w:b/>
          <w:bCs/>
          <w:i/>
          <w:iCs/>
          <w:szCs w:val="18"/>
          <w:lang w:val="en-US" w:eastAsia="zh-CN"/>
        </w:rPr>
      </w:pPr>
      <w:r>
        <w:rPr>
          <w:rFonts w:hint="eastAsia" w:eastAsia="宋体"/>
          <w:b/>
          <w:bCs/>
          <w:i/>
          <w:iCs/>
          <w:szCs w:val="18"/>
          <w:lang w:val="en-US" w:eastAsia="zh-CN"/>
        </w:rPr>
        <w:t>For FR</w:t>
      </w:r>
      <w:r>
        <w:rPr>
          <w:rFonts w:hint="eastAsia"/>
          <w:b/>
          <w:bCs/>
          <w:i/>
          <w:iCs/>
          <w:szCs w:val="18"/>
          <w:lang w:val="en-US" w:eastAsia="zh-CN"/>
        </w:rPr>
        <w:t>2-1 and FR2-2</w:t>
      </w:r>
      <w:r>
        <w:rPr>
          <w:rFonts w:hint="eastAsia" w:eastAsia="宋体"/>
          <w:b/>
          <w:bCs/>
          <w:i/>
          <w:iCs/>
          <w:szCs w:val="18"/>
          <w:lang w:val="en-US" w:eastAsia="zh-CN"/>
        </w:rPr>
        <w:t xml:space="preserve"> BS type </w:t>
      </w:r>
      <w:r>
        <w:rPr>
          <w:rFonts w:hint="eastAsia"/>
          <w:b/>
          <w:bCs/>
          <w:i/>
          <w:iCs/>
          <w:szCs w:val="18"/>
          <w:lang w:val="en-US" w:eastAsia="zh-CN"/>
        </w:rPr>
        <w:t>2</w:t>
      </w:r>
      <w:r>
        <w:rPr>
          <w:rFonts w:hint="eastAsia" w:eastAsia="宋体"/>
          <w:b/>
          <w:bCs/>
          <w:i/>
          <w:iCs/>
          <w:szCs w:val="18"/>
          <w:lang w:val="en-US" w:eastAsia="zh-CN"/>
        </w:rPr>
        <w:t>-O</w:t>
      </w:r>
      <w:r>
        <w:rPr>
          <w:rFonts w:hint="eastAsia"/>
          <w:b/>
          <w:bCs/>
          <w:i/>
          <w:iCs/>
          <w:szCs w:val="18"/>
          <w:lang w:val="en-US" w:eastAsia="zh-CN"/>
        </w:rPr>
        <w:t xml:space="preserve"> </w:t>
      </w:r>
      <w:r>
        <w:rPr>
          <w:rFonts w:hint="eastAsia" w:eastAsia="宋体"/>
          <w:b/>
          <w:bCs/>
          <w:i/>
          <w:iCs/>
          <w:szCs w:val="18"/>
          <w:lang w:val="en-US" w:eastAsia="zh-CN"/>
        </w:rPr>
        <w:t>[extracted from TS38.104 clause</w:t>
      </w:r>
      <w:r>
        <w:rPr>
          <w:rFonts w:hint="eastAsia"/>
          <w:b/>
          <w:bCs/>
          <w:i/>
          <w:iCs/>
          <w:szCs w:val="18"/>
          <w:lang w:val="en-US" w:eastAsia="zh-CN"/>
        </w:rPr>
        <w:t xml:space="preserve"> 9.6.3.3</w:t>
      </w:r>
      <w:r>
        <w:rPr>
          <w:rFonts w:hint="eastAsia" w:eastAsia="宋体"/>
          <w:b/>
          <w:bCs/>
          <w:i/>
          <w:iCs/>
          <w:szCs w:val="18"/>
          <w:lang w:val="en-US" w:eastAsia="zh-CN"/>
        </w:rPr>
        <w:t xml:space="preserve"> ]::</w:t>
      </w:r>
    </w:p>
    <w:p>
      <w:r>
        <w:t>.</w:t>
      </w:r>
    </w:p>
    <w:p>
      <w:pPr>
        <w:pStyle w:val="42"/>
        <w:rPr>
          <w:lang w:val="fr-FR"/>
        </w:rPr>
      </w:pPr>
      <w:r>
        <w:rPr>
          <w:lang w:val="fr-FR"/>
        </w:rPr>
        <w:t xml:space="preserve">Table 9.6.3.3-4: TAE requirements for </w:t>
      </w:r>
      <w:r>
        <w:rPr>
          <w:i/>
          <w:lang w:val="fr-FR"/>
        </w:rPr>
        <w:t>BS type 2-O</w:t>
      </w:r>
      <w:r>
        <w:rPr>
          <w:lang w:val="fr-FR"/>
        </w:rPr>
        <w:t xml:space="preserve">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96"/>
        <w:gridCol w:w="1542"/>
        <w:gridCol w:w="1262"/>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32"/>
              <w:rPr>
                <w:lang w:val="fr-FR"/>
              </w:rPr>
            </w:pPr>
          </w:p>
          <w:p>
            <w:pPr>
              <w:pStyle w:val="3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3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32"/>
            </w:pPr>
          </w:p>
        </w:tc>
        <w:tc>
          <w:tcPr>
            <w:tcW w:w="0" w:type="auto"/>
            <w:tcBorders>
              <w:top w:val="single" w:color="auto" w:sz="4" w:space="0"/>
              <w:left w:val="single" w:color="auto" w:sz="4" w:space="0"/>
              <w:bottom w:val="single" w:color="auto" w:sz="4" w:space="0"/>
              <w:right w:val="single" w:color="auto" w:sz="4" w:space="0"/>
            </w:tcBorders>
          </w:tcPr>
          <w:p>
            <w:pPr>
              <w:pStyle w:val="32"/>
              <w:rPr>
                <w:lang w:val="fr-FR"/>
              </w:rPr>
            </w:pPr>
            <w:r>
              <w:rPr>
                <w:lang w:val="fr-FR"/>
              </w:rPr>
              <w:t>60, 120 kHz SCS</w:t>
            </w:r>
          </w:p>
          <w:p>
            <w:pPr>
              <w:pStyle w:val="3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32"/>
              <w:rPr>
                <w:lang w:val="fr-FR"/>
              </w:rPr>
            </w:pPr>
            <w:r>
              <w:rPr>
                <w:lang w:val="fr-FR"/>
              </w:rPr>
              <w:t>480 kHz SCS</w:t>
            </w:r>
          </w:p>
          <w:p>
            <w:pPr>
              <w:pStyle w:val="32"/>
              <w:rPr>
                <w:lang w:val="fr-FR"/>
              </w:rPr>
            </w:pPr>
            <w:r>
              <w:rPr>
                <w:lang w:val="fr-FR"/>
              </w:rPr>
              <w:t>(ns)</w:t>
            </w:r>
          </w:p>
          <w:p>
            <w:pPr>
              <w:pStyle w:val="3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32"/>
              <w:rPr>
                <w:lang w:val="fr-FR"/>
              </w:rPr>
            </w:pPr>
            <w:r>
              <w:rPr>
                <w:lang w:val="fr-FR"/>
              </w:rPr>
              <w:t>960 kHz SCS</w:t>
            </w:r>
          </w:p>
          <w:p>
            <w:pPr>
              <w:pStyle w:val="3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rPr>
                <w:highlight w:val="magenta"/>
                <w:lang w:val="fr-FR"/>
              </w:rPr>
            </w:pPr>
            <w:r>
              <w:rPr>
                <w:i/>
                <w:iCs/>
                <w:highlight w:val="magenta"/>
                <w:lang w:val="fr-FR"/>
              </w:rPr>
              <w:t>intra-band contiguous carrier aggregation</w:t>
            </w:r>
            <w:r>
              <w:rPr>
                <w:highlight w:val="magenta"/>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33"/>
              <w:rPr>
                <w:highlight w:val="magenta"/>
                <w:lang w:val="fr-FR"/>
              </w:rPr>
            </w:pPr>
            <w:r>
              <w:rPr>
                <w:highlight w:val="magenta"/>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33"/>
              <w:rPr>
                <w:highlight w:val="magenta"/>
                <w:lang w:val="fr-FR"/>
              </w:rPr>
            </w:pPr>
            <w:r>
              <w:rPr>
                <w:highlight w:val="magenta"/>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Malgun Gothic"/>
                <w:highlight w:val="magenta"/>
                <w:lang w:val="fr-FR"/>
              </w:rPr>
            </w:pPr>
            <w:r>
              <w:rPr>
                <w:highlight w:val="magenta"/>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45"/>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tbl>
    <w:p/>
    <w:p>
      <w:pPr>
        <w:spacing w:before="120" w:beforeLines="50" w:after="120" w:afterLines="5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1: </w:t>
      </w:r>
      <w:r>
        <w:rPr>
          <w:rFonts w:hint="eastAsia" w:ascii="Times New Roman" w:hAnsi="Times New Roman" w:eastAsia="宋体" w:cs="Times New Roman"/>
          <w:kern w:val="2"/>
          <w:sz w:val="20"/>
          <w:szCs w:val="20"/>
          <w:lang w:val="en-US" w:eastAsia="zh-CN" w:bidi="ar-SA"/>
        </w:rPr>
        <w:t xml:space="preserve">the existing TAE requirement for intra-band contiguous CA in TS38.104 is not applicable if BS is declared with </w:t>
      </w:r>
      <w:r>
        <w:rPr>
          <w:rFonts w:hint="eastAsia" w:cs="Times New Roman"/>
          <w:kern w:val="2"/>
          <w:sz w:val="20"/>
          <w:szCs w:val="20"/>
          <w:lang w:val="en-US" w:eastAsia="zh-CN" w:bidi="ar-SA"/>
        </w:rPr>
        <w:t>bandwidth aggregated</w:t>
      </w:r>
      <w:r>
        <w:rPr>
          <w:rFonts w:hint="eastAsia" w:ascii="Times New Roman" w:hAnsi="Times New Roman" w:eastAsia="宋体" w:cs="Times New Roman"/>
          <w:kern w:val="2"/>
          <w:sz w:val="20"/>
          <w:szCs w:val="20"/>
          <w:lang w:val="en-US" w:eastAsia="zh-CN" w:bidi="ar-SA"/>
        </w:rPr>
        <w:t xml:space="preserve"> based positioning functionality. </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cs="Times New Roman"/>
          <w:kern w:val="2"/>
          <w:sz w:val="20"/>
          <w:szCs w:val="20"/>
          <w:lang w:val="en-US" w:eastAsia="zh-CN" w:bidi="ar-SA"/>
        </w:rPr>
        <w:t>Then the next question should be what</w:t>
      </w:r>
      <w:r>
        <w:rPr>
          <w:rFonts w:hint="default" w:cs="Times New Roman"/>
          <w:kern w:val="2"/>
          <w:sz w:val="20"/>
          <w:szCs w:val="20"/>
          <w:lang w:val="en-US" w:eastAsia="zh-CN" w:bidi="ar-SA"/>
        </w:rPr>
        <w:t>’</w:t>
      </w:r>
      <w:r>
        <w:rPr>
          <w:rFonts w:hint="eastAsia" w:cs="Times New Roman"/>
          <w:kern w:val="2"/>
          <w:sz w:val="20"/>
          <w:szCs w:val="20"/>
          <w:lang w:val="en-US" w:eastAsia="zh-CN" w:bidi="ar-SA"/>
        </w:rPr>
        <w:t>s the exact RF requirement supposed to be specified if possible for bandwidth aggregated based positioning (note: to pick up another name for timing difference within single RF chain (e.g. group delay requirements) instead of using TAE item if necessary). In general, the basic principle to evaluate or derive the corresponding RF requirement for bandwidth aggregated based positioning should be based on the performance comparison between intra-band contiguous CA with some potential acceptable residual timing difference and single carrier. However it should be noted that even though the potential acceptable minimum RF requirement could be identified and agreed among companies by the performance evaluation methodology if possible at the end, the measurement or testing feasibility of the extremely tighten requirement for bandwidth aggregated based positioning should be also taken into account. Since if measurement uncertainty is much larger than the the RF requirement derived by the performance evaluation, then it would be still possible not to define the corresponding RF requirement for it. In such case, we could leave the corresponding requirement up to the vendors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declaration. </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2: </w:t>
      </w:r>
      <w:r>
        <w:rPr>
          <w:rFonts w:hint="eastAsia" w:cs="Times New Roman"/>
          <w:b w:val="0"/>
          <w:bCs w:val="0"/>
          <w:kern w:val="2"/>
          <w:sz w:val="21"/>
          <w:szCs w:val="18"/>
          <w:lang w:val="en-US" w:eastAsia="zh-CN" w:bidi="ar-SA"/>
        </w:rPr>
        <w:t>to</w:t>
      </w:r>
      <w:r>
        <w:rPr>
          <w:rFonts w:hint="eastAsia" w:cs="Times New Roman"/>
          <w:b w:val="0"/>
          <w:bCs w:val="0"/>
          <w:kern w:val="2"/>
          <w:sz w:val="20"/>
          <w:szCs w:val="20"/>
          <w:lang w:val="en-US" w:eastAsia="zh-CN" w:bidi="ar-SA"/>
        </w:rPr>
        <w:t xml:space="preserve"> </w:t>
      </w:r>
      <w:r>
        <w:rPr>
          <w:rFonts w:hint="eastAsia" w:cs="Times New Roman"/>
          <w:kern w:val="2"/>
          <w:sz w:val="20"/>
          <w:szCs w:val="20"/>
          <w:lang w:val="en-US" w:eastAsia="zh-CN" w:bidi="ar-SA"/>
        </w:rPr>
        <w:t>evaluate or derive the corresponding RF requirement for bandwidth aggregated based positioning should be based on the performance comparison between intra-band contiguous CA with some potential residual acceptable timing difference and single carrier.</w:t>
      </w:r>
    </w:p>
    <w:p>
      <w:pPr>
        <w:pStyle w:val="31"/>
        <w:numPr>
          <w:ilvl w:val="0"/>
          <w:numId w:val="0"/>
        </w:numPr>
        <w:overflowPunct w:val="0"/>
        <w:autoSpaceDE w:val="0"/>
        <w:autoSpaceDN w:val="0"/>
        <w:adjustRightInd w:val="0"/>
        <w:spacing w:after="180"/>
        <w:textAlignment w:val="baseline"/>
        <w:rPr>
          <w:rFonts w:hint="default"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w:t>
      </w:r>
      <w:r>
        <w:rPr>
          <w:rFonts w:hint="eastAsia" w:cs="Times New Roman"/>
          <w:b/>
          <w:bCs/>
          <w:kern w:val="2"/>
          <w:sz w:val="21"/>
          <w:szCs w:val="18"/>
          <w:lang w:val="en-US" w:eastAsia="zh-CN" w:bidi="ar-SA"/>
        </w:rPr>
        <w:t>3</w:t>
      </w:r>
      <w:r>
        <w:rPr>
          <w:rFonts w:hint="eastAsia" w:ascii="Times New Roman" w:hAnsi="Times New Roman" w:eastAsia="宋体" w:cs="Times New Roman"/>
          <w:b/>
          <w:bCs/>
          <w:kern w:val="2"/>
          <w:sz w:val="21"/>
          <w:szCs w:val="18"/>
          <w:lang w:val="en-US" w:eastAsia="zh-CN" w:bidi="ar-SA"/>
        </w:rPr>
        <w:t xml:space="preserve">: </w:t>
      </w:r>
      <w:r>
        <w:rPr>
          <w:rFonts w:hint="eastAsia" w:cs="Times New Roman"/>
          <w:kern w:val="2"/>
          <w:sz w:val="20"/>
          <w:szCs w:val="20"/>
          <w:lang w:val="en-US" w:eastAsia="zh-CN" w:bidi="ar-SA"/>
        </w:rPr>
        <w:t>the measurement or testing feasibility of the extremely tighten requirement for bandwidth aggregated based positioning should be also taken into account.</w:t>
      </w:r>
    </w:p>
    <w:p>
      <w:pPr>
        <w:outlineLvl w:val="1"/>
        <w:rPr>
          <w:rFonts w:hint="default" w:ascii="Arial" w:hAnsi="Arial" w:eastAsia="宋体" w:cs="Arial"/>
          <w:sz w:val="28"/>
          <w:szCs w:val="28"/>
          <w:lang w:val="en-US" w:eastAsia="zh-CN"/>
        </w:rPr>
      </w:pPr>
      <w:r>
        <w:rPr>
          <w:rFonts w:ascii="Arial" w:hAnsi="Arial" w:cs="Arial"/>
          <w:sz w:val="28"/>
          <w:szCs w:val="28"/>
        </w:rPr>
        <w:t>2.</w:t>
      </w:r>
      <w:r>
        <w:rPr>
          <w:rFonts w:hint="eastAsia" w:ascii="Arial" w:hAnsi="Arial" w:cs="Arial"/>
          <w:sz w:val="28"/>
          <w:szCs w:val="28"/>
        </w:rPr>
        <w:t>2</w:t>
      </w:r>
      <w:r>
        <w:rPr>
          <w:rFonts w:ascii="Arial" w:hAnsi="Arial" w:cs="Arial"/>
          <w:sz w:val="28"/>
          <w:szCs w:val="28"/>
        </w:rPr>
        <w:t>.</w:t>
      </w:r>
      <w:r>
        <w:rPr>
          <w:rFonts w:hint="eastAsia" w:ascii="Arial" w:hAnsi="Arial" w:cs="Arial"/>
          <w:sz w:val="28"/>
          <w:szCs w:val="28"/>
        </w:rPr>
        <w:t xml:space="preserve"> Performance evaluation for </w:t>
      </w:r>
      <w:r>
        <w:rPr>
          <w:rFonts w:hint="eastAsia" w:ascii="Arial" w:hAnsi="Arial" w:cs="Arial"/>
          <w:sz w:val="28"/>
          <w:szCs w:val="28"/>
          <w:lang w:val="en-US" w:eastAsia="zh-CN"/>
        </w:rPr>
        <w:t xml:space="preserve">BW aggregation based positioning in </w:t>
      </w:r>
      <w:r>
        <w:rPr>
          <w:rFonts w:hint="eastAsia" w:ascii="Arial" w:hAnsi="Arial" w:cs="Arial"/>
          <w:sz w:val="28"/>
          <w:szCs w:val="28"/>
        </w:rPr>
        <w:t>intra-band contiguous CA</w:t>
      </w:r>
      <w:r>
        <w:rPr>
          <w:rFonts w:hint="eastAsia" w:ascii="Arial" w:hAnsi="Arial" w:cs="Arial"/>
          <w:sz w:val="28"/>
          <w:szCs w:val="28"/>
          <w:lang w:val="en-US" w:eastAsia="zh-CN"/>
        </w:rPr>
        <w:t xml:space="preserve"> scenario</w:t>
      </w:r>
    </w:p>
    <w:p>
      <w:p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following section, some </w:t>
      </w:r>
      <w:r>
        <w:rPr>
          <w:rFonts w:hint="eastAsia" w:cs="Times New Roman"/>
          <w:kern w:val="2"/>
          <w:sz w:val="20"/>
          <w:szCs w:val="20"/>
          <w:lang w:val="en-US" w:eastAsia="zh-CN" w:bidi="ar-SA"/>
        </w:rPr>
        <w:t xml:space="preserve">initial </w:t>
      </w:r>
      <w:r>
        <w:rPr>
          <w:rFonts w:hint="eastAsia" w:ascii="Times New Roman" w:hAnsi="Times New Roman" w:eastAsia="宋体" w:cs="Times New Roman"/>
          <w:kern w:val="2"/>
          <w:sz w:val="20"/>
          <w:szCs w:val="20"/>
          <w:lang w:val="en-US" w:eastAsia="zh-CN" w:bidi="ar-SA"/>
        </w:rPr>
        <w:t xml:space="preserve">simulation results are provided for </w:t>
      </w:r>
      <w:r>
        <w:rPr>
          <w:rFonts w:hint="eastAsia" w:cs="Times New Roman"/>
          <w:kern w:val="2"/>
          <w:sz w:val="20"/>
          <w:szCs w:val="20"/>
          <w:lang w:val="en-US" w:eastAsia="zh-CN" w:bidi="ar-SA"/>
        </w:rPr>
        <w:t>BW aggregation based positioning in intra-band contiguous CA scenario</w:t>
      </w:r>
      <w:r>
        <w:rPr>
          <w:rFonts w:hint="eastAsia" w:ascii="Times New Roman" w:hAnsi="Times New Roman" w:eastAsia="宋体" w:cs="Times New Roman"/>
          <w:kern w:val="2"/>
          <w:sz w:val="20"/>
          <w:szCs w:val="20"/>
          <w:lang w:val="en-US" w:eastAsia="zh-CN" w:bidi="ar-SA"/>
        </w:rPr>
        <w:t>. Basically due to the increasing aggregated carrier bandwidth, then its positioning accuracy would be improved in certain level, however it should be also noted that, if</w:t>
      </w:r>
      <w:r>
        <w:rPr>
          <w:rFonts w:hint="eastAsia" w:cs="Times New Roman"/>
          <w:kern w:val="2"/>
          <w:sz w:val="20"/>
          <w:szCs w:val="20"/>
          <w:lang w:val="en-US" w:eastAsia="zh-CN" w:bidi="ar-SA"/>
        </w:rPr>
        <w:t xml:space="preserve"> the</w:t>
      </w:r>
      <w:r>
        <w:rPr>
          <w:rFonts w:hint="eastAsia" w:ascii="Times New Roman" w:hAnsi="Times New Roman" w:eastAsia="宋体" w:cs="Times New Roman"/>
          <w:kern w:val="2"/>
          <w:sz w:val="20"/>
          <w:szCs w:val="20"/>
          <w:lang w:val="en-US" w:eastAsia="zh-CN" w:bidi="ar-SA"/>
        </w:rPr>
        <w:t xml:space="preserve"> residual timing difference among the contiguous aggregated carriers due to the RF imperfection (e.g. group delay)</w:t>
      </w:r>
      <w:r>
        <w:rPr>
          <w:rFonts w:hint="eastAsia" w:cs="Times New Roman"/>
          <w:kern w:val="2"/>
          <w:sz w:val="20"/>
          <w:szCs w:val="20"/>
          <w:lang w:val="en-US" w:eastAsia="zh-CN" w:bidi="ar-SA"/>
        </w:rPr>
        <w:t xml:space="preserve"> within single chain</w:t>
      </w:r>
      <w:r>
        <w:rPr>
          <w:rFonts w:hint="eastAsia" w:ascii="Times New Roman" w:hAnsi="Times New Roman" w:eastAsia="宋体" w:cs="Times New Roman"/>
          <w:kern w:val="2"/>
          <w:sz w:val="20"/>
          <w:szCs w:val="20"/>
          <w:lang w:val="en-US" w:eastAsia="zh-CN" w:bidi="ar-SA"/>
        </w:rPr>
        <w:t xml:space="preserve"> is relatively large, then its achievable performance gain under the intra-band contiguous CA case could be also jeopardized even compared with single carrier case.</w:t>
      </w:r>
    </w:p>
    <w:p>
      <w:pPr>
        <w:outlineLvl w:val="2"/>
      </w:pPr>
      <w:r>
        <w:rPr>
          <w:rFonts w:hint="eastAsia" w:ascii="Arial" w:hAnsi="Arial" w:cs="Arial"/>
          <w:sz w:val="28"/>
          <w:szCs w:val="28"/>
        </w:rPr>
        <w:t xml:space="preserve">2.2.1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For FR1 intra-band contiguous CA case, the simulation results are shown in the following Figure 2.2.1-1 to Figure 2.2.1-3 and those detailed values at different tile of CDF curve are summarized in the following Table 2.2.1-1. The detailed simulation assumption could be found in Appendix. Based on these initial simulation results, it can be observed that with the increasing timing difference between two adjacent CCs (timing </w:t>
      </w:r>
      <w:r>
        <w:rPr>
          <w:rFonts w:hint="eastAsia" w:cs="Times New Roman"/>
          <w:kern w:val="2"/>
          <w:sz w:val="20"/>
          <w:szCs w:val="20"/>
          <w:lang w:val="en-US" w:eastAsia="zh-CN" w:bidi="ar-SA"/>
        </w:rPr>
        <w:t>difference</w:t>
      </w:r>
      <w:r>
        <w:rPr>
          <w:rFonts w:hint="eastAsia" w:ascii="Times New Roman" w:hAnsi="Times New Roman" w:eastAsia="宋体" w:cs="Times New Roman"/>
          <w:kern w:val="2"/>
          <w:sz w:val="20"/>
          <w:szCs w:val="20"/>
          <w:lang w:val="en-US" w:eastAsia="zh-CN" w:bidi="ar-SA"/>
        </w:rPr>
        <w:t xml:space="preserve"> is modeled as STD [standard normal distribution]), the positioning accuracy would decrease correspondingly. For the case of 50MHz+50MHz (InF_SH) as</w:t>
      </w:r>
      <w:r>
        <w:rPr>
          <w:rFonts w:hint="eastAsia" w:cs="Times New Roman"/>
          <w:kern w:val="2"/>
          <w:sz w:val="20"/>
          <w:szCs w:val="20"/>
          <w:lang w:val="en-US" w:eastAsia="zh-CN" w:bidi="ar-SA"/>
        </w:rPr>
        <w:t xml:space="preserve"> shown</w:t>
      </w:r>
      <w:r>
        <w:rPr>
          <w:rFonts w:hint="eastAsia" w:ascii="Times New Roman" w:hAnsi="Times New Roman" w:eastAsia="宋体" w:cs="Times New Roman"/>
          <w:kern w:val="2"/>
          <w:sz w:val="20"/>
          <w:szCs w:val="20"/>
          <w:lang w:val="en-US" w:eastAsia="zh-CN" w:bidi="ar-SA"/>
        </w:rPr>
        <w:t xml:space="preserve"> in the Figure 2.2.1-1 below, when the relative timing</w:t>
      </w:r>
      <w:r>
        <w:rPr>
          <w:rFonts w:hint="eastAsia" w:cs="Times New Roman"/>
          <w:kern w:val="2"/>
          <w:sz w:val="20"/>
          <w:szCs w:val="20"/>
          <w:lang w:val="en-US" w:eastAsia="zh-CN" w:bidi="ar-SA"/>
        </w:rPr>
        <w:t xml:space="preserve"> difference </w:t>
      </w:r>
      <w:r>
        <w:rPr>
          <w:rFonts w:hint="eastAsia" w:ascii="Times New Roman" w:hAnsi="Times New Roman" w:eastAsia="宋体" w:cs="Times New Roman"/>
          <w:kern w:val="2"/>
          <w:sz w:val="20"/>
          <w:szCs w:val="20"/>
          <w:lang w:val="en-US" w:eastAsia="zh-CN" w:bidi="ar-SA"/>
        </w:rPr>
        <w:t xml:space="preserve">exceeds 4ns, then the positioning accuracy of intra-band contiguous CA would be worse than that of single carrier. For the case of 100MHz+100MHz (InF_SH), as in the Figure 2.2.1-2 below, when the relative timing </w:t>
      </w:r>
      <w:r>
        <w:rPr>
          <w:rFonts w:hint="eastAsia" w:cs="Times New Roman"/>
          <w:kern w:val="2"/>
          <w:sz w:val="20"/>
          <w:szCs w:val="20"/>
          <w:lang w:val="en-US" w:eastAsia="zh-CN" w:bidi="ar-SA"/>
        </w:rPr>
        <w:t>difference</w:t>
      </w:r>
      <w:r>
        <w:rPr>
          <w:rFonts w:hint="eastAsia" w:ascii="Times New Roman" w:hAnsi="Times New Roman" w:eastAsia="宋体" w:cs="Times New Roman"/>
          <w:kern w:val="2"/>
          <w:sz w:val="20"/>
          <w:szCs w:val="20"/>
          <w:lang w:val="en-US" w:eastAsia="zh-CN" w:bidi="ar-SA"/>
        </w:rPr>
        <w:t xml:space="preserve"> exceeds 2ns, then the positioning accuracy of intra-band contiguous CA is worse than that of single carrier (100MHz). </w:t>
      </w:r>
    </w:p>
    <w:p>
      <w:pPr>
        <w:snapToGrid w:val="0"/>
        <w:rPr>
          <w:sz w:val="20"/>
          <w:szCs w:val="20"/>
        </w:rPr>
      </w:pPr>
    </w:p>
    <w:p>
      <w:pPr>
        <w:jc w:val="center"/>
        <w:rPr>
          <w:sz w:val="20"/>
          <w:szCs w:val="20"/>
        </w:rPr>
      </w:pPr>
      <w:r>
        <w:drawing>
          <wp:inline distT="0" distB="0" distL="0" distR="0">
            <wp:extent cx="3611245" cy="2705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609960" cy="2704208"/>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snapToGrid w:val="0"/>
        <w:jc w:val="center"/>
      </w:pPr>
      <w:r>
        <w:drawing>
          <wp:inline distT="0" distB="0" distL="0" distR="0">
            <wp:extent cx="4481195" cy="33604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481562" cy="3360901"/>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.2.1-2</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100MHz+60MHz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jc w:val="center"/>
        <w:rPr>
          <w:sz w:val="20"/>
          <w:szCs w:val="20"/>
        </w:rPr>
      </w:pPr>
      <w:r>
        <w:drawing>
          <wp:inline distT="0" distB="0" distL="0" distR="0">
            <wp:extent cx="4525645" cy="33902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25958" cy="3390380"/>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w:t>
      </w:r>
      <w:r>
        <w:rPr>
          <w:sz w:val="20"/>
          <w:szCs w:val="20"/>
        </w:rPr>
        <w:t xml:space="preserve">3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100MHz+100MHz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2.2.1-</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r>
        <w:rPr>
          <w:sz w:val="20"/>
          <w:szCs w:val="20"/>
        </w:rPr>
        <w:t xml:space="preserve"> and Figure 2</w:t>
      </w:r>
      <w:r>
        <w:rPr>
          <w:rFonts w:hint="eastAsia"/>
          <w:sz w:val="20"/>
          <w:szCs w:val="20"/>
        </w:rPr>
        <w:t>.2.1-2</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09" w:type="dxa"/>
            <w:vMerge w:val="restart"/>
          </w:tcPr>
          <w:p>
            <w:pPr>
              <w:snapToGrid w:val="0"/>
              <w:spacing w:before="156" w:beforeLines="50" w:after="156" w:afterLines="50"/>
              <w:rPr>
                <w:sz w:val="20"/>
                <w:szCs w:val="20"/>
              </w:rPr>
            </w:pPr>
            <w:r>
              <w:rPr>
                <w:sz w:val="20"/>
                <w:szCs w:val="20"/>
              </w:rPr>
              <w:t>50MHz+50MHz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0.22</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0.29</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0.36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0.63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0.73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0.89</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4</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0.57</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0.85</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1.13</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0.75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1.03</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1.52</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6</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0.90</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2.02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Single FL (50MHz)</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0.55</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0.75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0.95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100MHz+60MHz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0.145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0.247</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0.318</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0.337</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0.466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0.585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0.733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0.217</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0.267</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0.329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restart"/>
          </w:tcPr>
          <w:p>
            <w:pPr>
              <w:snapToGrid w:val="0"/>
              <w:spacing w:before="156" w:beforeLines="50" w:after="156" w:afterLines="50"/>
              <w:rPr>
                <w:sz w:val="20"/>
                <w:szCs w:val="20"/>
              </w:rPr>
            </w:pPr>
            <w:r>
              <w:rPr>
                <w:sz w:val="20"/>
                <w:szCs w:val="20"/>
              </w:rPr>
              <w:t>100MHz+100MHz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0.09</w:t>
            </w:r>
            <w:r>
              <w:rPr>
                <w:rFonts w:hint="eastAsia"/>
                <w:sz w:val="20"/>
                <w:szCs w:val="20"/>
              </w:rPr>
              <w:t>1</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w:t>
            </w:r>
            <w:r>
              <w:rPr>
                <w:rFonts w:hint="eastAsia"/>
                <w:sz w:val="20"/>
                <w:szCs w:val="20"/>
              </w:rPr>
              <w:t>126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w:t>
            </w:r>
            <w:r>
              <w:rPr>
                <w:rFonts w:hint="eastAsia"/>
                <w:sz w:val="20"/>
                <w:szCs w:val="20"/>
              </w:rPr>
              <w:t>46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0.18</w:t>
            </w:r>
            <w:r>
              <w:rPr>
                <w:rFonts w:hint="eastAsia"/>
                <w:sz w:val="20"/>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0.139</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0.192</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0.246</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0.245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w:t>
            </w:r>
            <w:r>
              <w:rPr>
                <w:rFonts w:hint="eastAsia"/>
                <w:sz w:val="20"/>
                <w:szCs w:val="20"/>
              </w:rPr>
              <w:t>50</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w:t>
            </w:r>
            <w:r>
              <w:rPr>
                <w:rFonts w:hint="eastAsia"/>
                <w:sz w:val="20"/>
                <w:szCs w:val="20"/>
              </w:rPr>
              <w:t>3</w:t>
            </w:r>
            <w:r>
              <w:rPr>
                <w:sz w:val="20"/>
                <w:szCs w:val="20"/>
              </w:rPr>
              <w:t>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0. 6</w:t>
            </w:r>
            <w:r>
              <w:rPr>
                <w:rFonts w:hint="eastAsia"/>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Single FL (100MHz)</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0.217</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0.267</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0.329</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0.421</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1</w:t>
      </w:r>
      <w:r>
        <w:rPr>
          <w:rFonts w:hint="eastAsia" w:cs="Times New Roman"/>
          <w:sz w:val="21"/>
          <w:szCs w:val="22"/>
          <w:lang w:val="en-US" w:eastAsia="zh-CN"/>
        </w:rPr>
        <w:t xml:space="preserve">: for bandwidth aggregated based positioning in FR1 intra-band contiguous CA scenario,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w:t>
      </w:r>
      <w:r>
        <w:rPr>
          <w:rFonts w:hint="eastAsia" w:cs="Times New Roman"/>
          <w:sz w:val="21"/>
          <w:szCs w:val="22"/>
          <w:lang w:val="en-US" w:eastAsia="zh-CN"/>
        </w:rPr>
        <w:t xml:space="preserve"> (100+100MHz)</w:t>
      </w:r>
      <w:r>
        <w:rPr>
          <w:rFonts w:hint="eastAsia" w:ascii="Times New Roman" w:hAnsi="Times New Roman" w:eastAsia="宋体" w:cs="Times New Roman"/>
          <w:sz w:val="21"/>
          <w:szCs w:val="22"/>
        </w:rPr>
        <w:t xml:space="preserve">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r>
        <w:rPr>
          <w:rFonts w:hint="eastAsia" w:cs="Times New Roman"/>
          <w:sz w:val="21"/>
          <w:szCs w:val="22"/>
          <w:lang w:val="en-US" w:eastAsia="zh-CN"/>
        </w:rPr>
        <w:t xml:space="preserve"> 100MHz</w:t>
      </w:r>
      <w:r>
        <w:rPr>
          <w:rFonts w:hint="eastAsia" w:ascii="Times New Roman" w:hAnsi="Times New Roman" w:eastAsia="宋体" w:cs="Times New Roman"/>
          <w:sz w:val="21"/>
          <w:szCs w:val="22"/>
        </w:rPr>
        <w:t xml:space="preserve"> . </w:t>
      </w:r>
    </w:p>
    <w:p/>
    <w:p>
      <w:pPr>
        <w:outlineLvl w:val="2"/>
        <w:rPr>
          <w:rFonts w:ascii="Arial" w:hAnsi="Arial" w:cs="Arial"/>
          <w:sz w:val="28"/>
          <w:szCs w:val="28"/>
        </w:rPr>
      </w:pPr>
      <w:r>
        <w:rPr>
          <w:rFonts w:hint="eastAsia" w:ascii="Arial" w:hAnsi="Arial" w:cs="Arial"/>
          <w:sz w:val="28"/>
          <w:szCs w:val="28"/>
        </w:rPr>
        <w:t xml:space="preserve">2.2.2 </w:t>
      </w:r>
      <w:r>
        <w:rPr>
          <w:rFonts w:ascii="Arial" w:hAnsi="Arial" w:cs="Arial"/>
          <w:sz w:val="28"/>
          <w:szCs w:val="28"/>
        </w:rPr>
        <w:t>FR</w:t>
      </w:r>
      <w:r>
        <w:rPr>
          <w:rFonts w:hint="eastAsia" w:ascii="Arial" w:hAnsi="Arial" w:cs="Arial"/>
          <w:sz w:val="28"/>
          <w:szCs w:val="28"/>
        </w:rPr>
        <w:t xml:space="preserve">2 intra-band contiguous CA </w:t>
      </w:r>
    </w:p>
    <w:p>
      <w:pPr>
        <w:autoSpaceDE w:val="0"/>
        <w:autoSpaceDN w:val="0"/>
        <w:adjustRightInd w:val="0"/>
        <w:snapToGrid w:val="0"/>
        <w:spacing w:before="156" w:beforeLines="50" w:after="156" w:afterLines="5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FR2 intra-band contiguous CA case, f</w:t>
      </w:r>
      <w:r>
        <w:rPr>
          <w:rFonts w:hint="eastAsia" w:ascii="Times New Roman" w:hAnsi="Times New Roman" w:eastAsia="宋体" w:cs="Times New Roman"/>
          <w:sz w:val="20"/>
          <w:szCs w:val="20"/>
        </w:rPr>
        <w:t xml:space="preserve">or the case of </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 (InF_SH), as in the Figure 2.2.</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 xml:space="preserve">-1 below, when the relative </w:t>
      </w:r>
      <w:r>
        <w:rPr>
          <w:rFonts w:hint="eastAsia" w:cs="Times New Roman"/>
          <w:sz w:val="20"/>
          <w:szCs w:val="20"/>
          <w:lang w:eastAsia="zh-CN"/>
        </w:rPr>
        <w:t>timing difference</w:t>
      </w:r>
      <w:r>
        <w:rPr>
          <w:rFonts w:hint="eastAsia" w:ascii="Times New Roman" w:hAnsi="Times New Roman" w:eastAsia="宋体" w:cs="Times New Roman"/>
          <w:sz w:val="20"/>
          <w:szCs w:val="20"/>
        </w:rPr>
        <w:t xml:space="preserve"> exceeds </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ns, then the positioning accuracy of intra-band contiguous CA would be worse than that of single carrier</w:t>
      </w:r>
      <w:r>
        <w:rPr>
          <w:rFonts w:hint="eastAsia" w:ascii="Times New Roman" w:hAnsi="Times New Roman" w:eastAsia="宋体" w:cs="Times New Roman"/>
          <w:sz w:val="20"/>
          <w:szCs w:val="20"/>
          <w:lang w:val="en-US" w:eastAsia="zh-CN"/>
        </w:rPr>
        <w:t xml:space="preserve"> similar as FR1 observation.</w:t>
      </w:r>
    </w:p>
    <w:p>
      <w:pPr>
        <w:jc w:val="center"/>
      </w:pPr>
      <w:r>
        <w:drawing>
          <wp:inline distT="0" distB="0" distL="0" distR="0">
            <wp:extent cx="3861435" cy="28924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61878" cy="2892919"/>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rPr>
          <w:rFonts w:hint="eastAsia"/>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w:t>
      </w:r>
      <w:r>
        <w:rPr>
          <w:rFonts w:hint="eastAsia"/>
          <w:sz w:val="20"/>
          <w:szCs w:val="20"/>
          <w:lang w:val="en-US" w:eastAsia="zh-CN"/>
        </w:rPr>
        <w:t>2</w:t>
      </w:r>
      <w:r>
        <w:rPr>
          <w:rFonts w:hint="eastAsia"/>
          <w:sz w:val="20"/>
          <w:szCs w:val="20"/>
        </w:rPr>
        <w:t>-</w:t>
      </w:r>
      <w:r>
        <w:rPr>
          <w:sz w:val="20"/>
          <w:szCs w:val="20"/>
        </w:rPr>
        <w:t>1</w:t>
      </w:r>
      <w:r>
        <w:rPr>
          <w:rFonts w:hint="eastAsia"/>
          <w:sz w:val="20"/>
          <w:szCs w:val="20"/>
        </w:rPr>
        <w:t>-</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w:t>
            </w:r>
            <w:r>
              <w:rPr>
                <w:rFonts w:hint="eastAsia"/>
                <w:sz w:val="20"/>
                <w:szCs w:val="20"/>
              </w:rPr>
              <w:t>10</w:t>
            </w:r>
            <w:r>
              <w:rPr>
                <w:sz w:val="20"/>
                <w:szCs w:val="20"/>
              </w:rPr>
              <w:t>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0.081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 xml:space="preserve">0.119 </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0.170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0.215</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0.313</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0.424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0.264</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0.349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0.413</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0.507</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2</w:t>
      </w:r>
      <w:r>
        <w:rPr>
          <w:rFonts w:hint="eastAsia" w:cs="Times New Roman"/>
          <w:sz w:val="21"/>
          <w:szCs w:val="22"/>
          <w:lang w:val="en-US" w:eastAsia="zh-CN"/>
        </w:rPr>
        <w:t xml:space="preserve">: for bandwidth aggregated based positioning in FR2 intra-band contiguous CA scenario,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 xml:space="preserve">t of single carrier . </w:t>
      </w:r>
    </w:p>
    <w:p/>
    <w:p>
      <w:pPr>
        <w:outlineLvl w:val="1"/>
        <w:rPr>
          <w:rFonts w:hint="default" w:ascii="Arial" w:hAnsi="Arial" w:eastAsia="宋体"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The testability of RF requirement for carrier aggregation based positioning</w:t>
      </w:r>
    </w:p>
    <w:p>
      <w:pPr>
        <w:rPr>
          <w:rFonts w:hint="default"/>
          <w:lang w:val="en-US" w:eastAsia="zh-CN"/>
        </w:rPr>
      </w:pPr>
      <w:r>
        <w:rPr>
          <w:rFonts w:hint="eastAsia"/>
          <w:lang w:val="en-US" w:eastAsia="zh-CN"/>
        </w:rPr>
        <w:t xml:space="preserve">As mentioned in the section 2.1, if the measurement uncertainty is larger than the specified requirement, then it would make the conformance testing a bit useless at the end. Even though it was agreed not to discuss the TAE requirement for single RF chain architecture in the previous meeting, however from our understanding that measurement uncertainty for TAE requirement as summarized below could be still applicable for timing difference requirement of bandwidth aggregated based positioning. It is quite obviously that the measurement uncertainty 25ns is much larger than 2ns timing difference requirement as proposed in observation 1 for FR1 and observation 2 for FR2. In other words, considering the measurement uncertainty, it might be impossible to test the extremely tighten timing difference requirement for bandwidth aggregated based positioning feature. </w:t>
      </w:r>
    </w:p>
    <w:p>
      <w:pPr>
        <w:rPr>
          <w:rFonts w:hint="default"/>
          <w:lang w:val="en-US" w:eastAsia="zh-CN"/>
        </w:rPr>
      </w:pPr>
    </w:p>
    <w:p>
      <w:pPr>
        <w:pStyle w:val="31"/>
        <w:numPr>
          <w:ilvl w:val="0"/>
          <w:numId w:val="0"/>
        </w:numPr>
        <w:overflowPunct w:val="0"/>
        <w:autoSpaceDE w:val="0"/>
        <w:autoSpaceDN w:val="0"/>
        <w:adjustRightInd w:val="0"/>
        <w:spacing w:after="180"/>
        <w:textAlignment w:val="baseline"/>
      </w:pPr>
      <w:r>
        <w:rPr>
          <w:rFonts w:hint="eastAsia"/>
          <w:b/>
          <w:bCs/>
          <w:i/>
          <w:iCs/>
          <w:szCs w:val="18"/>
          <w:lang w:val="en-US" w:eastAsia="zh-CN"/>
        </w:rPr>
        <w:t>Measurement uncertainty for FR1 BS TAE requirement</w:t>
      </w:r>
      <w:r>
        <w:rPr>
          <w:rFonts w:hint="eastAsia" w:eastAsia="宋体"/>
          <w:b/>
          <w:bCs/>
          <w:i/>
          <w:iCs/>
          <w:szCs w:val="18"/>
          <w:lang w:val="en-US" w:eastAsia="zh-CN"/>
        </w:rPr>
        <w:t xml:space="preserve"> [extracted from TS38.1</w:t>
      </w:r>
      <w:r>
        <w:rPr>
          <w:rFonts w:hint="eastAsia"/>
          <w:b/>
          <w:bCs/>
          <w:i/>
          <w:iCs/>
          <w:szCs w:val="18"/>
          <w:lang w:val="en-US" w:eastAsia="zh-CN"/>
        </w:rPr>
        <w:t>41-1</w:t>
      </w:r>
      <w:r>
        <w:rPr>
          <w:rFonts w:hint="eastAsia" w:eastAsia="宋体"/>
          <w:b/>
          <w:bCs/>
          <w:i/>
          <w:iCs/>
          <w:szCs w:val="18"/>
          <w:lang w:val="en-US" w:eastAsia="zh-CN"/>
        </w:rPr>
        <w:t xml:space="preserve"> clause</w:t>
      </w:r>
      <w:r>
        <w:rPr>
          <w:rFonts w:hint="eastAsia"/>
          <w:b/>
          <w:bCs/>
          <w:i/>
          <w:iCs/>
          <w:szCs w:val="18"/>
          <w:lang w:val="en-US" w:eastAsia="zh-CN"/>
        </w:rPr>
        <w:t xml:space="preserve"> 4.1.2.2</w:t>
      </w:r>
      <w:r>
        <w:rPr>
          <w:rFonts w:hint="eastAsia" w:eastAsia="宋体"/>
          <w:b/>
          <w:bCs/>
          <w:i/>
          <w:iCs/>
          <w:szCs w:val="18"/>
          <w:lang w:val="en-US" w:eastAsia="zh-CN"/>
        </w:rPr>
        <w:t xml:space="preserve"> ]:</w:t>
      </w:r>
    </w:p>
    <w:p>
      <w:pPr>
        <w:pStyle w:val="42"/>
      </w:pPr>
      <w:r>
        <w:t>Table 4.1.2.2-1: Maximum Test System uncertainty for transmitter tests</w:t>
      </w:r>
    </w:p>
    <w:tbl>
      <w:tblPr>
        <w:tblStyle w:val="21"/>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32"/>
            </w:pPr>
            <w:r>
              <w:t>Clause</w:t>
            </w:r>
          </w:p>
        </w:tc>
        <w:tc>
          <w:tcPr>
            <w:tcW w:w="4536" w:type="dxa"/>
          </w:tcPr>
          <w:p>
            <w:pPr>
              <w:pStyle w:val="32"/>
            </w:pPr>
            <w:r>
              <w:t>Maximum Test System Uncertainty</w:t>
            </w:r>
          </w:p>
        </w:tc>
        <w:tc>
          <w:tcPr>
            <w:tcW w:w="2721" w:type="dxa"/>
          </w:tcPr>
          <w:p>
            <w:pPr>
              <w:pStyle w:val="32"/>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4"/>
            </w:pPr>
            <w:r>
              <w:rPr>
                <w:rFonts w:cs="v4.2.0"/>
                <w:lang w:eastAsia="ja-JP"/>
              </w:rPr>
              <w:t>6.5.4 Time alignment error</w:t>
            </w:r>
          </w:p>
        </w:tc>
        <w:tc>
          <w:tcPr>
            <w:tcW w:w="4536" w:type="dxa"/>
          </w:tcPr>
          <w:p>
            <w:pPr>
              <w:pStyle w:val="34"/>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34"/>
            </w:pPr>
          </w:p>
        </w:tc>
      </w:tr>
    </w:tbl>
    <w:p/>
    <w:p>
      <w:pPr>
        <w:pStyle w:val="31"/>
        <w:numPr>
          <w:ilvl w:val="0"/>
          <w:numId w:val="0"/>
        </w:numPr>
        <w:overflowPunct w:val="0"/>
        <w:autoSpaceDE w:val="0"/>
        <w:autoSpaceDN w:val="0"/>
        <w:adjustRightInd w:val="0"/>
        <w:spacing w:after="180"/>
        <w:textAlignment w:val="baseline"/>
      </w:pPr>
      <w:r>
        <w:rPr>
          <w:rFonts w:hint="eastAsia"/>
          <w:b/>
          <w:bCs/>
          <w:i/>
          <w:iCs/>
          <w:szCs w:val="18"/>
          <w:lang w:val="en-US" w:eastAsia="zh-CN"/>
        </w:rPr>
        <w:t>Measurement uncertainty for FR2 BS TAE requirement</w:t>
      </w:r>
      <w:r>
        <w:rPr>
          <w:rFonts w:hint="eastAsia" w:eastAsia="宋体"/>
          <w:b/>
          <w:bCs/>
          <w:i/>
          <w:iCs/>
          <w:szCs w:val="18"/>
          <w:lang w:val="en-US" w:eastAsia="zh-CN"/>
        </w:rPr>
        <w:t xml:space="preserve"> [extracted from TS38.1</w:t>
      </w:r>
      <w:r>
        <w:rPr>
          <w:rFonts w:hint="eastAsia"/>
          <w:b/>
          <w:bCs/>
          <w:i/>
          <w:iCs/>
          <w:szCs w:val="18"/>
          <w:lang w:val="en-US" w:eastAsia="zh-CN"/>
        </w:rPr>
        <w:t>41-2</w:t>
      </w:r>
      <w:r>
        <w:rPr>
          <w:rFonts w:hint="eastAsia" w:eastAsia="宋体"/>
          <w:b/>
          <w:bCs/>
          <w:i/>
          <w:iCs/>
          <w:szCs w:val="18"/>
          <w:lang w:val="en-US" w:eastAsia="zh-CN"/>
        </w:rPr>
        <w:t xml:space="preserve"> clause</w:t>
      </w:r>
      <w:r>
        <w:rPr>
          <w:rFonts w:hint="eastAsia"/>
          <w:b/>
          <w:bCs/>
          <w:i/>
          <w:iCs/>
          <w:szCs w:val="18"/>
          <w:lang w:val="en-US" w:eastAsia="zh-CN"/>
        </w:rPr>
        <w:t xml:space="preserve"> 4.1.2.2</w:t>
      </w:r>
      <w:r>
        <w:rPr>
          <w:rFonts w:hint="eastAsia" w:eastAsia="宋体"/>
          <w:b/>
          <w:bCs/>
          <w:i/>
          <w:iCs/>
          <w:szCs w:val="18"/>
          <w:lang w:val="en-US" w:eastAsia="zh-CN"/>
        </w:rPr>
        <w:t xml:space="preserve"> ]:</w:t>
      </w:r>
    </w:p>
    <w:p>
      <w:pPr>
        <w:pStyle w:val="42"/>
      </w:pPr>
      <w:r>
        <w:t>Table 4.1.2.2-2: Maximum OTA Test System uncertainty for FR2 OTA transmitter tests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32"/>
            </w:pPr>
            <w:r>
              <w:t>Clause</w:t>
            </w:r>
          </w:p>
        </w:tc>
        <w:tc>
          <w:tcPr>
            <w:tcW w:w="3531" w:type="dxa"/>
            <w:tcBorders>
              <w:top w:val="single" w:color="auto" w:sz="4" w:space="0"/>
              <w:left w:val="single" w:color="auto" w:sz="4" w:space="0"/>
              <w:bottom w:val="single" w:color="auto" w:sz="4" w:space="0"/>
              <w:right w:val="single" w:color="auto" w:sz="4" w:space="0"/>
            </w:tcBorders>
          </w:tcPr>
          <w:p>
            <w:pPr>
              <w:pStyle w:val="3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34"/>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34"/>
            </w:pPr>
            <w:r>
              <w:t>±25 ns</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3:</w:t>
      </w:r>
      <w:r>
        <w:rPr>
          <w:rFonts w:hint="eastAsia"/>
          <w:lang w:val="en-US" w:eastAsia="zh-CN"/>
        </w:rPr>
        <w:t xml:space="preserve"> given the potential measurement uncertainty, it is quite challenging to test the extremely tighten timing difference requirement for bandwidth aggregated based positioning feature. </w:t>
      </w:r>
      <w:r>
        <w:rPr>
          <w:rFonts w:hint="eastAsia" w:ascii="Times New Roman" w:hAnsi="Times New Roman" w:eastAsia="宋体" w:cs="Times New Roman"/>
          <w:sz w:val="21"/>
          <w:szCs w:val="22"/>
        </w:rPr>
        <w:t xml:space="preserve"> </w:t>
      </w:r>
    </w:p>
    <w:p>
      <w:pPr>
        <w:autoSpaceDE/>
        <w:autoSpaceDN/>
        <w:adjustRightInd/>
        <w:snapToGrid/>
        <w:spacing w:before="0" w:beforeLines="-2147483648" w:after="0" w:afterLines="-2147483648"/>
        <w:rPr>
          <w:rFonts w:hint="default" w:ascii="Times New Roman" w:hAnsi="Times New Roman" w:eastAsia="宋体" w:cs="Times New Roman"/>
          <w:sz w:val="21"/>
          <w:szCs w:val="22"/>
          <w:lang w:val="en-US" w:eastAsia="zh-CN"/>
        </w:rPr>
      </w:pPr>
      <w:r>
        <w:rPr>
          <w:rFonts w:hint="eastAsia" w:cs="Times New Roman"/>
          <w:b/>
          <w:bCs/>
          <w:sz w:val="21"/>
          <w:szCs w:val="22"/>
          <w:lang w:val="en-US" w:eastAsia="zh-CN"/>
        </w:rPr>
        <w:t xml:space="preserve">Proposal 4: </w:t>
      </w:r>
      <w:r>
        <w:rPr>
          <w:rFonts w:hint="eastAsia" w:cs="Times New Roman"/>
          <w:sz w:val="21"/>
          <w:szCs w:val="22"/>
          <w:lang w:val="en-US" w:eastAsia="zh-CN"/>
        </w:rPr>
        <w:t xml:space="preserve">not to define the corresponding RF requirement from BS perspective for bandwidth aggregated based positioning feature and leave it up to the vendor declaration. </w:t>
      </w:r>
    </w:p>
    <w:bookmarkEnd w:id="1"/>
    <w:bookmarkEnd w:id="2"/>
    <w:bookmarkEnd w:id="3"/>
    <w:bookmarkEnd w:id="4"/>
    <w:p>
      <w:pPr>
        <w:pStyle w:val="52"/>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consideration on </w:t>
      </w:r>
      <w:r>
        <w:rPr>
          <w:rFonts w:hint="eastAsia"/>
          <w:lang w:val="en-US" w:eastAsia="zh-CN"/>
        </w:rPr>
        <w:t>bandwidth aggregated</w:t>
      </w:r>
      <w:r>
        <w:rPr>
          <w:rFonts w:hint="eastAsia"/>
        </w:rPr>
        <w:t xml:space="preserve"> based positioning enhancement</w:t>
      </w:r>
      <w:r>
        <w:rPr>
          <w:rFonts w:hint="eastAsia"/>
          <w:lang w:val="en-US" w:eastAsia="zh-CN"/>
        </w:rPr>
        <w:t xml:space="preserve"> in intra-band contiguous CA</w:t>
      </w:r>
      <w:r>
        <w:rPr>
          <w:rFonts w:hint="eastAsia"/>
        </w:rPr>
        <w:t xml:space="preserve"> and proposals are made as following:</w:t>
      </w:r>
    </w:p>
    <w:p>
      <w:pPr>
        <w:spacing w:before="120" w:beforeLines="50" w:after="120" w:afterLines="5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1: </w:t>
      </w:r>
      <w:r>
        <w:rPr>
          <w:rFonts w:hint="eastAsia" w:ascii="Times New Roman" w:hAnsi="Times New Roman" w:eastAsia="宋体" w:cs="Times New Roman"/>
          <w:kern w:val="2"/>
          <w:sz w:val="20"/>
          <w:szCs w:val="20"/>
          <w:lang w:val="en-US" w:eastAsia="zh-CN" w:bidi="ar-SA"/>
        </w:rPr>
        <w:t xml:space="preserve">the existing TAE requirement for intra-band contiguous CA in TS38.104 is not applicable if BS is declared with </w:t>
      </w:r>
      <w:r>
        <w:rPr>
          <w:rFonts w:hint="eastAsia" w:cs="Times New Roman"/>
          <w:kern w:val="2"/>
          <w:sz w:val="20"/>
          <w:szCs w:val="20"/>
          <w:lang w:val="en-US" w:eastAsia="zh-CN" w:bidi="ar-SA"/>
        </w:rPr>
        <w:t>bandwidth aggregated</w:t>
      </w:r>
      <w:r>
        <w:rPr>
          <w:rFonts w:hint="eastAsia" w:ascii="Times New Roman" w:hAnsi="Times New Roman" w:eastAsia="宋体" w:cs="Times New Roman"/>
          <w:kern w:val="2"/>
          <w:sz w:val="20"/>
          <w:szCs w:val="20"/>
          <w:lang w:val="en-US" w:eastAsia="zh-CN" w:bidi="ar-SA"/>
        </w:rPr>
        <w:t xml:space="preserve"> based positioning functionality. </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2: </w:t>
      </w:r>
      <w:r>
        <w:rPr>
          <w:rFonts w:hint="eastAsia" w:cs="Times New Roman"/>
          <w:b w:val="0"/>
          <w:bCs w:val="0"/>
          <w:kern w:val="2"/>
          <w:sz w:val="21"/>
          <w:szCs w:val="18"/>
          <w:lang w:val="en-US" w:eastAsia="zh-CN" w:bidi="ar-SA"/>
        </w:rPr>
        <w:t>to</w:t>
      </w:r>
      <w:r>
        <w:rPr>
          <w:rFonts w:hint="eastAsia" w:cs="Times New Roman"/>
          <w:b w:val="0"/>
          <w:bCs w:val="0"/>
          <w:kern w:val="2"/>
          <w:sz w:val="20"/>
          <w:szCs w:val="20"/>
          <w:lang w:val="en-US" w:eastAsia="zh-CN" w:bidi="ar-SA"/>
        </w:rPr>
        <w:t xml:space="preserve"> </w:t>
      </w:r>
      <w:r>
        <w:rPr>
          <w:rFonts w:hint="eastAsia" w:cs="Times New Roman"/>
          <w:kern w:val="2"/>
          <w:sz w:val="20"/>
          <w:szCs w:val="20"/>
          <w:lang w:val="en-US" w:eastAsia="zh-CN" w:bidi="ar-SA"/>
        </w:rPr>
        <w:t>evaluate or derive the corresponding RF requirement for bandwidth aggregated based positioning should be based on the performance comparison between intra-band contiguous CA with some potential residual acceptable timing difference and single carrier.</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w:t>
      </w:r>
      <w:r>
        <w:rPr>
          <w:rFonts w:hint="eastAsia" w:cs="Times New Roman"/>
          <w:b/>
          <w:bCs/>
          <w:kern w:val="2"/>
          <w:sz w:val="21"/>
          <w:szCs w:val="18"/>
          <w:lang w:val="en-US" w:eastAsia="zh-CN" w:bidi="ar-SA"/>
        </w:rPr>
        <w:t>3</w:t>
      </w:r>
      <w:r>
        <w:rPr>
          <w:rFonts w:hint="eastAsia" w:ascii="Times New Roman" w:hAnsi="Times New Roman" w:eastAsia="宋体" w:cs="Times New Roman"/>
          <w:b/>
          <w:bCs/>
          <w:kern w:val="2"/>
          <w:sz w:val="21"/>
          <w:szCs w:val="18"/>
          <w:lang w:val="en-US" w:eastAsia="zh-CN" w:bidi="ar-SA"/>
        </w:rPr>
        <w:t xml:space="preserve">: </w:t>
      </w:r>
      <w:r>
        <w:rPr>
          <w:rFonts w:hint="eastAsia" w:cs="Times New Roman"/>
          <w:kern w:val="2"/>
          <w:sz w:val="20"/>
          <w:szCs w:val="20"/>
          <w:lang w:val="en-US" w:eastAsia="zh-CN" w:bidi="ar-SA"/>
        </w:rPr>
        <w:t>the measurement or testing feasibility of the extremely tighten requirement for bandwidth aggregated based positioning should be also taken into account.</w:t>
      </w:r>
    </w:p>
    <w:p>
      <w:pPr>
        <w:pStyle w:val="31"/>
        <w:numPr>
          <w:ilvl w:val="0"/>
          <w:numId w:val="0"/>
        </w:numPr>
        <w:overflowPunct w:val="0"/>
        <w:autoSpaceDE w:val="0"/>
        <w:autoSpaceDN w:val="0"/>
        <w:adjustRightInd w:val="0"/>
        <w:spacing w:after="180"/>
        <w:textAlignment w:val="baseline"/>
        <w:rPr>
          <w:rFonts w:hint="default" w:cs="Times New Roman"/>
          <w:kern w:val="2"/>
          <w:sz w:val="20"/>
          <w:szCs w:val="20"/>
          <w:lang w:val="en-US" w:eastAsia="zh-CN" w:bidi="ar-SA"/>
        </w:rPr>
      </w:pPr>
      <w:r>
        <w:rPr>
          <w:rFonts w:hint="eastAsia" w:cs="Times New Roman"/>
          <w:b/>
          <w:bCs/>
          <w:sz w:val="21"/>
          <w:szCs w:val="22"/>
          <w:lang w:val="en-US" w:eastAsia="zh-CN"/>
        </w:rPr>
        <w:t>Observation 1</w:t>
      </w:r>
      <w:r>
        <w:rPr>
          <w:rFonts w:hint="eastAsia" w:cs="Times New Roman"/>
          <w:sz w:val="21"/>
          <w:szCs w:val="22"/>
          <w:lang w:val="en-US" w:eastAsia="zh-CN"/>
        </w:rPr>
        <w:t xml:space="preserve">: for FR1 intra-band contiguous CA based positioning,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w:t>
      </w:r>
      <w:r>
        <w:rPr>
          <w:rFonts w:hint="eastAsia" w:cs="Times New Roman"/>
          <w:sz w:val="21"/>
          <w:szCs w:val="22"/>
          <w:lang w:val="en-US" w:eastAsia="zh-CN"/>
        </w:rPr>
        <w:t xml:space="preserve"> (100+100MHz)</w:t>
      </w:r>
      <w:r>
        <w:rPr>
          <w:rFonts w:hint="eastAsia" w:ascii="Times New Roman" w:hAnsi="Times New Roman" w:eastAsia="宋体" w:cs="Times New Roman"/>
          <w:sz w:val="21"/>
          <w:szCs w:val="22"/>
        </w:rPr>
        <w:t xml:space="preserve">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r>
        <w:rPr>
          <w:rFonts w:hint="eastAsia" w:cs="Times New Roman"/>
          <w:sz w:val="21"/>
          <w:szCs w:val="22"/>
          <w:lang w:val="en-US" w:eastAsia="zh-CN"/>
        </w:rPr>
        <w:t xml:space="preserve"> 100MHz</w:t>
      </w:r>
      <w:r>
        <w:rPr>
          <w:rFonts w:hint="eastAsia" w:ascii="Times New Roman" w:hAnsi="Times New Roman" w:eastAsia="宋体" w:cs="Times New Roman"/>
          <w:sz w:val="21"/>
          <w:szCs w:val="22"/>
        </w:rPr>
        <w:t xml:space="preserve"> .</w:t>
      </w:r>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1</w:t>
      </w:r>
      <w:r>
        <w:rPr>
          <w:rFonts w:hint="eastAsia" w:cs="Times New Roman"/>
          <w:sz w:val="21"/>
          <w:szCs w:val="22"/>
          <w:lang w:val="en-US" w:eastAsia="zh-CN"/>
        </w:rPr>
        <w:t xml:space="preserve">: for bandwidth aggregated based positioning in FR1 intra-band contiguous CA scenario,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w:t>
      </w:r>
      <w:r>
        <w:rPr>
          <w:rFonts w:hint="eastAsia" w:cs="Times New Roman"/>
          <w:sz w:val="21"/>
          <w:szCs w:val="22"/>
          <w:lang w:val="en-US" w:eastAsia="zh-CN"/>
        </w:rPr>
        <w:t xml:space="preserve"> (100+100MHz)</w:t>
      </w:r>
      <w:r>
        <w:rPr>
          <w:rFonts w:hint="eastAsia" w:ascii="Times New Roman" w:hAnsi="Times New Roman" w:eastAsia="宋体" w:cs="Times New Roman"/>
          <w:sz w:val="21"/>
          <w:szCs w:val="22"/>
        </w:rPr>
        <w:t xml:space="preserve">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r>
        <w:rPr>
          <w:rFonts w:hint="eastAsia" w:cs="Times New Roman"/>
          <w:sz w:val="21"/>
          <w:szCs w:val="22"/>
          <w:lang w:val="en-US" w:eastAsia="zh-CN"/>
        </w:rPr>
        <w:t xml:space="preserve"> 100MHz</w:t>
      </w:r>
      <w:r>
        <w:rPr>
          <w:rFonts w:hint="eastAsia" w:ascii="Times New Roman" w:hAnsi="Times New Roman" w:eastAsia="宋体" w:cs="Times New Roman"/>
          <w:sz w:val="21"/>
          <w:szCs w:val="22"/>
        </w:rPr>
        <w:t xml:space="preserve"> . </w:t>
      </w:r>
    </w:p>
    <w:p>
      <w:pPr>
        <w:autoSpaceDE/>
        <w:autoSpaceDN/>
        <w:adjustRightInd/>
        <w:snapToGrid/>
        <w:spacing w:before="0" w:beforeLines="-2147483648" w:after="0" w:afterLines="-2147483648"/>
        <w:rPr>
          <w:rFonts w:hint="eastAsia" w:cs="Times New Roman"/>
          <w:b/>
          <w:bCs/>
          <w:sz w:val="21"/>
          <w:szCs w:val="22"/>
          <w:lang w:val="en-US" w:eastAsia="zh-CN"/>
        </w:rPr>
      </w:pPr>
      <w:r>
        <w:rPr>
          <w:rFonts w:hint="eastAsia" w:cs="Times New Roman"/>
          <w:b/>
          <w:bCs/>
          <w:sz w:val="21"/>
          <w:szCs w:val="22"/>
          <w:lang w:val="en-US" w:eastAsia="zh-CN"/>
        </w:rPr>
        <w:t>Observation 2</w:t>
      </w:r>
      <w:r>
        <w:rPr>
          <w:rFonts w:hint="eastAsia" w:cs="Times New Roman"/>
          <w:sz w:val="21"/>
          <w:szCs w:val="22"/>
          <w:lang w:val="en-US" w:eastAsia="zh-CN"/>
        </w:rPr>
        <w:t xml:space="preserve">: for bandwidth aggregated based positioning in FR2 intra-band contiguous CA scenario,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3:</w:t>
      </w:r>
      <w:r>
        <w:rPr>
          <w:rFonts w:hint="eastAsia"/>
          <w:lang w:val="en-US" w:eastAsia="zh-CN"/>
        </w:rPr>
        <w:t xml:space="preserve"> given the potential measurement uncertainty, it is quite challenging to test the extremely tighten timing difference requirement for bandwidth aggregated based positioning feature. </w:t>
      </w:r>
      <w:r>
        <w:rPr>
          <w:rFonts w:hint="eastAsia" w:ascii="Times New Roman" w:hAnsi="Times New Roman" w:eastAsia="宋体" w:cs="Times New Roman"/>
          <w:sz w:val="21"/>
          <w:szCs w:val="22"/>
        </w:rPr>
        <w:t xml:space="preserve"> </w:t>
      </w:r>
    </w:p>
    <w:p>
      <w:pPr>
        <w:autoSpaceDE/>
        <w:autoSpaceDN/>
        <w:adjustRightInd/>
        <w:snapToGrid/>
        <w:spacing w:before="0" w:beforeLines="-2147483648" w:after="0" w:afterLines="-2147483648"/>
        <w:rPr>
          <w:rFonts w:hint="eastAsia"/>
        </w:rPr>
      </w:pPr>
      <w:r>
        <w:rPr>
          <w:rFonts w:hint="eastAsia" w:cs="Times New Roman"/>
          <w:b/>
          <w:bCs/>
          <w:sz w:val="21"/>
          <w:szCs w:val="22"/>
          <w:lang w:val="en-US" w:eastAsia="zh-CN"/>
        </w:rPr>
        <w:t xml:space="preserve">Proposal 4: </w:t>
      </w:r>
      <w:r>
        <w:rPr>
          <w:rFonts w:hint="eastAsia" w:cs="Times New Roman"/>
          <w:sz w:val="21"/>
          <w:szCs w:val="22"/>
          <w:lang w:val="en-US" w:eastAsia="zh-CN"/>
        </w:rPr>
        <w:t xml:space="preserve">not to define the corresponding RF requirement from BS perspective for bandwidth aggregated based positioning feature and leave it up to the vendor declaration. </w:t>
      </w:r>
    </w:p>
    <w:p>
      <w:pPr>
        <w:pStyle w:val="52"/>
        <w:tabs>
          <w:tab w:val="left" w:pos="567"/>
          <w:tab w:val="clear" w:pos="1985"/>
        </w:tabs>
        <w:adjustRightInd w:val="0"/>
        <w:ind w:left="510" w:hanging="510"/>
      </w:pPr>
      <w:r>
        <w:t>References</w:t>
      </w:r>
    </w:p>
    <w:p>
      <w:pPr>
        <w:pStyle w:val="50"/>
        <w:numPr>
          <w:ilvl w:val="0"/>
          <w:numId w:val="5"/>
        </w:numPr>
        <w:rPr>
          <w:rFonts w:hint="eastAsia"/>
          <w:sz w:val="20"/>
          <w:szCs w:val="20"/>
          <w:lang w:eastAsia="zh-CN"/>
        </w:rPr>
      </w:pPr>
      <w:r>
        <w:rPr>
          <w:rFonts w:hint="eastAsia"/>
          <w:sz w:val="20"/>
          <w:szCs w:val="20"/>
        </w:rPr>
        <w:t>RP-223549</w:t>
      </w:r>
      <w:r>
        <w:rPr>
          <w:rFonts w:hint="eastAsia"/>
          <w:sz w:val="20"/>
          <w:szCs w:val="20"/>
          <w:lang w:val="en-US" w:eastAsia="zh-CN"/>
        </w:rPr>
        <w:t xml:space="preserve">, </w:t>
      </w:r>
      <w:r>
        <w:rPr>
          <w:rFonts w:hint="eastAsia"/>
          <w:sz w:val="20"/>
          <w:szCs w:val="20"/>
          <w:lang w:eastAsia="zh-CN"/>
        </w:rPr>
        <w:t>New WID on Expanded and Improved NR Positioning</w:t>
      </w:r>
      <w:r>
        <w:rPr>
          <w:rFonts w:hint="eastAsia"/>
          <w:sz w:val="20"/>
          <w:szCs w:val="20"/>
          <w:lang w:val="en-US" w:eastAsia="zh-CN"/>
        </w:rPr>
        <w:t xml:space="preserve">, </w:t>
      </w:r>
      <w:r>
        <w:rPr>
          <w:rFonts w:hint="eastAsia"/>
          <w:sz w:val="20"/>
          <w:szCs w:val="20"/>
          <w:lang w:eastAsia="zh-CN"/>
        </w:rPr>
        <w:t>Intel Corporation, CATT, Ericsson</w:t>
      </w:r>
      <w:r>
        <w:rPr>
          <w:rFonts w:hint="eastAsia"/>
          <w:sz w:val="20"/>
          <w:szCs w:val="20"/>
          <w:lang w:val="en-US" w:eastAsia="zh-CN"/>
        </w:rPr>
        <w:t>, Approved, RAN#98e meeting.</w:t>
      </w:r>
    </w:p>
    <w:p>
      <w:pPr>
        <w:pStyle w:val="50"/>
        <w:numPr>
          <w:ilvl w:val="0"/>
          <w:numId w:val="5"/>
        </w:numPr>
        <w:rPr>
          <w:rFonts w:hint="eastAsia"/>
          <w:sz w:val="20"/>
          <w:szCs w:val="20"/>
          <w:lang w:eastAsia="zh-CN"/>
        </w:rPr>
      </w:pPr>
      <w:r>
        <w:rPr>
          <w:rFonts w:hint="eastAsia"/>
          <w:sz w:val="20"/>
          <w:szCs w:val="20"/>
        </w:rPr>
        <w:t>RP-223289</w:t>
      </w:r>
      <w:r>
        <w:rPr>
          <w:rFonts w:hint="eastAsia"/>
          <w:sz w:val="20"/>
          <w:szCs w:val="20"/>
          <w:lang w:val="en-US" w:eastAsia="zh-CN"/>
        </w:rPr>
        <w:t xml:space="preserve">, </w:t>
      </w:r>
      <w:sdt>
        <w:sdtPr>
          <w:rPr>
            <w:rFonts w:hint="eastAsia"/>
            <w:sz w:val="20"/>
            <w:szCs w:val="20"/>
          </w:rPr>
          <w:alias w:val="Title"/>
          <w:id w:val="1803343673"/>
          <w:placeholder>
            <w:docPart w:val="{c52b4164-c7f5-46b0-8266-293a950291af}"/>
          </w:placeholder>
          <w15:dataBinding w:prefixMappings="xmlns:ns0='http://purl.org/dc/elements/1.1/' xmlns:ns1='http://schemas.openxmlformats.org/package/2006/metadata/core-properties' " w:xpath="/ns1:coreProperties[1]/ns0:title[1]" w:storeItemID="{6C3C8BC8-F283-45AE-878A-BAB7291924A1}"/>
          <w:text/>
        </w:sdtPr>
        <w:sdtEndPr>
          <w:rPr>
            <w:rFonts w:hint="eastAsia"/>
            <w:sz w:val="20"/>
            <w:szCs w:val="20"/>
          </w:rPr>
        </w:sdtEndPr>
        <w:sdtContent>
          <w:r>
            <w:rPr>
              <w:rFonts w:hint="eastAsia"/>
              <w:sz w:val="20"/>
              <w:szCs w:val="20"/>
              <w:lang w:eastAsia="zh-CN"/>
            </w:rPr>
            <w:t>TR 38.859 v100: Study on expanded and improved NR positioning</w:t>
          </w:r>
        </w:sdtContent>
      </w:sdt>
      <w:r>
        <w:rPr>
          <w:rFonts w:hint="eastAsia"/>
          <w:sz w:val="20"/>
          <w:szCs w:val="20"/>
          <w:lang w:val="en-US" w:eastAsia="zh-CN"/>
        </w:rPr>
        <w:t>, Approved.</w:t>
      </w:r>
    </w:p>
    <w:p>
      <w:pPr>
        <w:pStyle w:val="50"/>
        <w:numPr>
          <w:ilvl w:val="0"/>
          <w:numId w:val="5"/>
        </w:numPr>
        <w:rPr>
          <w:rFonts w:hint="eastAsia"/>
          <w:sz w:val="20"/>
          <w:szCs w:val="20"/>
          <w:lang w:eastAsia="zh-CN"/>
        </w:rPr>
      </w:pPr>
      <w:r>
        <w:rPr>
          <w:rFonts w:hint="eastAsia"/>
          <w:sz w:val="20"/>
          <w:szCs w:val="20"/>
        </w:rPr>
        <w:fldChar w:fldCharType="begin"/>
      </w:r>
      <w:r>
        <w:rPr>
          <w:rFonts w:hint="eastAsia"/>
          <w:sz w:val="20"/>
          <w:szCs w:val="20"/>
        </w:rPr>
        <w:instrText xml:space="preserve"> HYPERLINK "file:///D:\\RAN4%23106\\Docs\\R4-2303570.zip" </w:instrText>
      </w:r>
      <w:r>
        <w:rPr>
          <w:rFonts w:hint="eastAsia"/>
          <w:sz w:val="20"/>
          <w:szCs w:val="20"/>
        </w:rPr>
        <w:fldChar w:fldCharType="separate"/>
      </w:r>
      <w:r>
        <w:rPr>
          <w:rFonts w:hint="eastAsia"/>
          <w:sz w:val="20"/>
          <w:szCs w:val="20"/>
        </w:rPr>
        <w:t>R4-2303570</w:t>
      </w:r>
      <w:r>
        <w:rPr>
          <w:rFonts w:hint="eastAsia"/>
          <w:sz w:val="20"/>
          <w:szCs w:val="20"/>
        </w:rPr>
        <w:fldChar w:fldCharType="end"/>
      </w:r>
      <w:r>
        <w:rPr>
          <w:rFonts w:hint="eastAsia"/>
          <w:sz w:val="20"/>
          <w:szCs w:val="20"/>
          <w:lang w:val="en-US" w:eastAsia="zh-CN"/>
        </w:rPr>
        <w:t xml:space="preserve">, </w:t>
      </w:r>
      <w:r>
        <w:rPr>
          <w:rFonts w:hint="eastAsia"/>
          <w:sz w:val="20"/>
          <w:szCs w:val="20"/>
        </w:rPr>
        <w:t>WF on UE RF for expanded and improved NR positioning</w:t>
      </w:r>
      <w:r>
        <w:rPr>
          <w:rFonts w:hint="eastAsia"/>
          <w:sz w:val="20"/>
          <w:szCs w:val="20"/>
          <w:lang w:val="en-US" w:eastAsia="zh-CN"/>
        </w:rPr>
        <w:t>, Intel, approved.</w:t>
      </w:r>
    </w:p>
    <w:p>
      <w:pPr>
        <w:rPr>
          <w:rFonts w:hint="eastAsia" w:eastAsia="宋体"/>
          <w:sz w:val="20"/>
          <w:szCs w:val="20"/>
          <w:lang w:val="en-US" w:eastAsia="zh-CN"/>
        </w:rPr>
      </w:pPr>
    </w:p>
    <w:p>
      <w:pPr>
        <w:pStyle w:val="52"/>
        <w:tabs>
          <w:tab w:val="left" w:pos="567"/>
          <w:tab w:val="clear" w:pos="1985"/>
        </w:tabs>
        <w:adjustRightInd w:val="0"/>
        <w:snapToGrid w:val="0"/>
        <w:spacing w:before="120" w:after="156" w:afterLines="50"/>
        <w:ind w:left="510" w:hanging="510"/>
      </w:pPr>
      <w:r>
        <w:t>Appendix</w:t>
      </w:r>
    </w:p>
    <w:p>
      <w:pPr>
        <w:snapToGrid w:val="0"/>
        <w:jc w:val="center"/>
        <w:rPr>
          <w:b/>
          <w:sz w:val="20"/>
          <w:szCs w:val="20"/>
        </w:rPr>
      </w:pPr>
      <w:r>
        <w:rPr>
          <w:b/>
          <w:sz w:val="20"/>
          <w:szCs w:val="20"/>
        </w:rPr>
        <w:t xml:space="preserve">Table 2 </w:t>
      </w:r>
      <w:r>
        <w:rPr>
          <w:rFonts w:hint="eastAsia"/>
          <w:b/>
          <w:sz w:val="20"/>
          <w:szCs w:val="20"/>
        </w:rPr>
        <w:t xml:space="preserve"> </w:t>
      </w:r>
      <w:r>
        <w:rPr>
          <w:b/>
          <w:sz w:val="20"/>
          <w:szCs w:val="20"/>
        </w:rPr>
        <w:t>Simulation assumption</w:t>
      </w:r>
      <w:r>
        <w:rPr>
          <w:rFonts w:hint="eastAsia"/>
          <w:b/>
          <w:sz w:val="20"/>
          <w:szCs w:val="20"/>
        </w:rPr>
        <w:t xml:space="preserve"> for FR1-1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sz w:val="20"/>
                <w:szCs w:val="20"/>
              </w:rPr>
              <w:t>3.5GHz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lang w:val="en-GB" w:eastAsia="en-US"/>
              </w:rPr>
            </w:pPr>
            <w:r>
              <w:rPr>
                <w:sz w:val="20"/>
                <w:szCs w:val="20"/>
              </w:rPr>
              <w:t xml:space="preserve">50+50MHz </w:t>
            </w:r>
          </w:p>
          <w:p>
            <w:pPr>
              <w:snapToGrid w:val="0"/>
              <w:jc w:val="center"/>
              <w:rPr>
                <w:sz w:val="20"/>
                <w:szCs w:val="20"/>
              </w:rPr>
            </w:pPr>
            <w:r>
              <w:rPr>
                <w:sz w:val="20"/>
                <w:szCs w:val="20"/>
              </w:rPr>
              <w:t>100+100MH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sz w:val="20"/>
                <w:szCs w:val="20"/>
              </w:rPr>
              <w:t>30kHz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Pr>
        <w:snapToGrid w:val="0"/>
        <w:jc w:val="center"/>
        <w:rPr>
          <w:b/>
          <w:sz w:val="20"/>
          <w:szCs w:val="20"/>
        </w:rPr>
      </w:pPr>
      <w:r>
        <w:rPr>
          <w:b/>
          <w:sz w:val="20"/>
          <w:szCs w:val="20"/>
        </w:rPr>
        <w:t xml:space="preserve">Table </w:t>
      </w:r>
      <w:r>
        <w:rPr>
          <w:rFonts w:hint="eastAsia"/>
          <w:b/>
          <w:sz w:val="20"/>
          <w:szCs w:val="20"/>
        </w:rPr>
        <w:t>3</w:t>
      </w:r>
      <w:r>
        <w:rPr>
          <w:b/>
          <w:sz w:val="20"/>
          <w:szCs w:val="20"/>
        </w:rPr>
        <w:t xml:space="preserve"> </w:t>
      </w:r>
      <w:r>
        <w:rPr>
          <w:rFonts w:hint="eastAsia"/>
          <w:b/>
          <w:sz w:val="20"/>
          <w:szCs w:val="20"/>
        </w:rPr>
        <w:t xml:space="preserve"> </w:t>
      </w:r>
      <w:r>
        <w:rPr>
          <w:b/>
          <w:sz w:val="20"/>
          <w:szCs w:val="20"/>
        </w:rPr>
        <w:t>Simulation assumption</w:t>
      </w:r>
      <w:r>
        <w:rPr>
          <w:rFonts w:hint="eastAsia"/>
          <w:b/>
          <w:sz w:val="20"/>
          <w:szCs w:val="20"/>
        </w:rPr>
        <w:t xml:space="preserve"> for FR2-1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rFonts w:hint="eastAsia"/>
                <w:sz w:val="20"/>
                <w:szCs w:val="20"/>
              </w:rPr>
              <w:t>28</w:t>
            </w:r>
            <w:r>
              <w:rPr>
                <w:sz w:val="20"/>
                <w:szCs w:val="20"/>
              </w:rPr>
              <w:t>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rPr>
            </w:pPr>
            <w:r>
              <w:rPr>
                <w:rFonts w:hint="eastAsia"/>
                <w:sz w:val="20"/>
                <w:szCs w:val="20"/>
              </w:rPr>
              <w:t>2</w:t>
            </w:r>
            <w:r>
              <w:rPr>
                <w:sz w:val="20"/>
                <w:szCs w:val="20"/>
              </w:rPr>
              <w:t>00+</w:t>
            </w:r>
            <w:r>
              <w:rPr>
                <w:rFonts w:hint="eastAsia"/>
                <w:sz w:val="20"/>
                <w:szCs w:val="20"/>
              </w:rPr>
              <w:t>2</w:t>
            </w:r>
            <w:r>
              <w:rPr>
                <w:sz w:val="20"/>
                <w:szCs w:val="20"/>
              </w:rPr>
              <w:t>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rFonts w:hint="eastAsia"/>
                <w:sz w:val="20"/>
                <w:szCs w:val="20"/>
              </w:rPr>
              <w:t>120</w:t>
            </w:r>
            <w:r>
              <w:rPr>
                <w:sz w:val="20"/>
                <w:szCs w:val="20"/>
              </w:rPr>
              <w:t>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6677880"/>
    <w:multiLevelType w:val="multilevel"/>
    <w:tmpl w:val="266778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5E275254"/>
    <w:multiLevelType w:val="multilevel"/>
    <w:tmpl w:val="5E275254"/>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95C"/>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592"/>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92F8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324B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517A5"/>
    <w:rsid w:val="01EB414A"/>
    <w:rsid w:val="01ED0229"/>
    <w:rsid w:val="01F33D9D"/>
    <w:rsid w:val="01F60577"/>
    <w:rsid w:val="01F6554E"/>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0C7F10"/>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7C3FFB"/>
    <w:rsid w:val="04856247"/>
    <w:rsid w:val="04865E52"/>
    <w:rsid w:val="048829D4"/>
    <w:rsid w:val="04975447"/>
    <w:rsid w:val="049B40DC"/>
    <w:rsid w:val="04BF11CA"/>
    <w:rsid w:val="04D424C8"/>
    <w:rsid w:val="04D66461"/>
    <w:rsid w:val="04F44180"/>
    <w:rsid w:val="051034CD"/>
    <w:rsid w:val="051F43BC"/>
    <w:rsid w:val="052432F7"/>
    <w:rsid w:val="05280A89"/>
    <w:rsid w:val="05367867"/>
    <w:rsid w:val="053E1AC2"/>
    <w:rsid w:val="0545651B"/>
    <w:rsid w:val="05583DC1"/>
    <w:rsid w:val="055A77BF"/>
    <w:rsid w:val="05734531"/>
    <w:rsid w:val="057808AC"/>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1C3202"/>
    <w:rsid w:val="062871A7"/>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8D2591"/>
    <w:rsid w:val="069B1966"/>
    <w:rsid w:val="06A32A23"/>
    <w:rsid w:val="06A55EB9"/>
    <w:rsid w:val="06AE0568"/>
    <w:rsid w:val="06B16B21"/>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3E1D07"/>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8B6391"/>
    <w:rsid w:val="078E6505"/>
    <w:rsid w:val="07916BE4"/>
    <w:rsid w:val="07992686"/>
    <w:rsid w:val="07A2728D"/>
    <w:rsid w:val="07AA3E51"/>
    <w:rsid w:val="07BE51B2"/>
    <w:rsid w:val="07D835FB"/>
    <w:rsid w:val="07DD018B"/>
    <w:rsid w:val="07E014BE"/>
    <w:rsid w:val="07E04AA8"/>
    <w:rsid w:val="07E51BB2"/>
    <w:rsid w:val="07E85751"/>
    <w:rsid w:val="07ED5339"/>
    <w:rsid w:val="07F97CF9"/>
    <w:rsid w:val="07FE27AC"/>
    <w:rsid w:val="0800676F"/>
    <w:rsid w:val="08171593"/>
    <w:rsid w:val="0835476E"/>
    <w:rsid w:val="08367FC2"/>
    <w:rsid w:val="083743FF"/>
    <w:rsid w:val="08391661"/>
    <w:rsid w:val="084E0029"/>
    <w:rsid w:val="08550FFB"/>
    <w:rsid w:val="085D6C7E"/>
    <w:rsid w:val="08611CAF"/>
    <w:rsid w:val="0865781A"/>
    <w:rsid w:val="0866133E"/>
    <w:rsid w:val="08692F64"/>
    <w:rsid w:val="087716A2"/>
    <w:rsid w:val="08780590"/>
    <w:rsid w:val="087A3AF7"/>
    <w:rsid w:val="087E046C"/>
    <w:rsid w:val="08813C88"/>
    <w:rsid w:val="08914D87"/>
    <w:rsid w:val="08942BDF"/>
    <w:rsid w:val="089852F1"/>
    <w:rsid w:val="08990610"/>
    <w:rsid w:val="089B5449"/>
    <w:rsid w:val="089D6B7D"/>
    <w:rsid w:val="08B21918"/>
    <w:rsid w:val="08B40442"/>
    <w:rsid w:val="08B94847"/>
    <w:rsid w:val="08BE69D9"/>
    <w:rsid w:val="08C14001"/>
    <w:rsid w:val="08D27AD4"/>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76C7E"/>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46017"/>
    <w:rsid w:val="0A3A0D5D"/>
    <w:rsid w:val="0A3C3D64"/>
    <w:rsid w:val="0A5056C6"/>
    <w:rsid w:val="0A5060D6"/>
    <w:rsid w:val="0A5C7BDF"/>
    <w:rsid w:val="0A5F4C2E"/>
    <w:rsid w:val="0A7200B0"/>
    <w:rsid w:val="0A771CA5"/>
    <w:rsid w:val="0A7F11A2"/>
    <w:rsid w:val="0A7F4F37"/>
    <w:rsid w:val="0A843B9D"/>
    <w:rsid w:val="0A8621F2"/>
    <w:rsid w:val="0A8C711B"/>
    <w:rsid w:val="0A8F1F9F"/>
    <w:rsid w:val="0A9B6BF5"/>
    <w:rsid w:val="0A9F00A5"/>
    <w:rsid w:val="0AA40CFE"/>
    <w:rsid w:val="0AA50074"/>
    <w:rsid w:val="0AAB401F"/>
    <w:rsid w:val="0AB329A9"/>
    <w:rsid w:val="0ABA55D8"/>
    <w:rsid w:val="0AC23AEF"/>
    <w:rsid w:val="0ACD4245"/>
    <w:rsid w:val="0AD57B82"/>
    <w:rsid w:val="0AD57FD6"/>
    <w:rsid w:val="0AD84FAB"/>
    <w:rsid w:val="0ADC7C5D"/>
    <w:rsid w:val="0ADD7B55"/>
    <w:rsid w:val="0AE2248B"/>
    <w:rsid w:val="0B0456DD"/>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911FE"/>
    <w:rsid w:val="0BEC55E4"/>
    <w:rsid w:val="0BF427F9"/>
    <w:rsid w:val="0C0B2ABC"/>
    <w:rsid w:val="0C0C632D"/>
    <w:rsid w:val="0C120111"/>
    <w:rsid w:val="0C12447E"/>
    <w:rsid w:val="0C190E68"/>
    <w:rsid w:val="0C1C1D13"/>
    <w:rsid w:val="0C1D0A79"/>
    <w:rsid w:val="0C312090"/>
    <w:rsid w:val="0C37145B"/>
    <w:rsid w:val="0C3946F8"/>
    <w:rsid w:val="0C3C0AB0"/>
    <w:rsid w:val="0C3C355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43CDF"/>
    <w:rsid w:val="0CC70BEC"/>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15CFF"/>
    <w:rsid w:val="0E9A17E3"/>
    <w:rsid w:val="0E9C111D"/>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77E71"/>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76ABB"/>
    <w:rsid w:val="0FF827D2"/>
    <w:rsid w:val="10045EE6"/>
    <w:rsid w:val="100C1580"/>
    <w:rsid w:val="100D3B17"/>
    <w:rsid w:val="10154FE6"/>
    <w:rsid w:val="1023666E"/>
    <w:rsid w:val="10241CF6"/>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6A49C5"/>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E5101"/>
    <w:rsid w:val="123F0DB6"/>
    <w:rsid w:val="12420E79"/>
    <w:rsid w:val="125A02CC"/>
    <w:rsid w:val="12640F86"/>
    <w:rsid w:val="126E0573"/>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11A89"/>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9F2042"/>
    <w:rsid w:val="13A62921"/>
    <w:rsid w:val="13AB3B97"/>
    <w:rsid w:val="13B35E26"/>
    <w:rsid w:val="13B42C01"/>
    <w:rsid w:val="13B66BD2"/>
    <w:rsid w:val="13BF66BA"/>
    <w:rsid w:val="13CA31CB"/>
    <w:rsid w:val="13CD1105"/>
    <w:rsid w:val="13D27C86"/>
    <w:rsid w:val="13D765AD"/>
    <w:rsid w:val="13DC36E2"/>
    <w:rsid w:val="13F13348"/>
    <w:rsid w:val="13F22B81"/>
    <w:rsid w:val="13FD4FCC"/>
    <w:rsid w:val="13FE285E"/>
    <w:rsid w:val="1410395F"/>
    <w:rsid w:val="141624C3"/>
    <w:rsid w:val="14220CA7"/>
    <w:rsid w:val="142E6CAD"/>
    <w:rsid w:val="143802F8"/>
    <w:rsid w:val="144442DA"/>
    <w:rsid w:val="144C6544"/>
    <w:rsid w:val="14661C11"/>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7584D"/>
    <w:rsid w:val="15787FE5"/>
    <w:rsid w:val="157E21FE"/>
    <w:rsid w:val="1587411C"/>
    <w:rsid w:val="159A14DB"/>
    <w:rsid w:val="15A80FDC"/>
    <w:rsid w:val="15AA7A19"/>
    <w:rsid w:val="15AC5259"/>
    <w:rsid w:val="15AE02B1"/>
    <w:rsid w:val="15AE5475"/>
    <w:rsid w:val="15B06B12"/>
    <w:rsid w:val="15B75136"/>
    <w:rsid w:val="15BE3D9D"/>
    <w:rsid w:val="15C61DCD"/>
    <w:rsid w:val="15C95F6B"/>
    <w:rsid w:val="15CC0709"/>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35AB7"/>
    <w:rsid w:val="1676720B"/>
    <w:rsid w:val="16780DA5"/>
    <w:rsid w:val="16794785"/>
    <w:rsid w:val="16853FE3"/>
    <w:rsid w:val="168F5C07"/>
    <w:rsid w:val="1695742C"/>
    <w:rsid w:val="169D1595"/>
    <w:rsid w:val="16A65B92"/>
    <w:rsid w:val="16AA56E3"/>
    <w:rsid w:val="16AD0A57"/>
    <w:rsid w:val="16B47058"/>
    <w:rsid w:val="16BA18A0"/>
    <w:rsid w:val="16BD160C"/>
    <w:rsid w:val="16BE109A"/>
    <w:rsid w:val="16C2724F"/>
    <w:rsid w:val="16C41FCF"/>
    <w:rsid w:val="16D359B1"/>
    <w:rsid w:val="16D5544D"/>
    <w:rsid w:val="16D9147C"/>
    <w:rsid w:val="16DC6856"/>
    <w:rsid w:val="16DF721A"/>
    <w:rsid w:val="16E021D8"/>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432B5"/>
    <w:rsid w:val="1767596D"/>
    <w:rsid w:val="176C704A"/>
    <w:rsid w:val="17844C56"/>
    <w:rsid w:val="178F0D7B"/>
    <w:rsid w:val="179559A6"/>
    <w:rsid w:val="17957384"/>
    <w:rsid w:val="179B20F3"/>
    <w:rsid w:val="17A30F12"/>
    <w:rsid w:val="17AE5651"/>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5F2F1D"/>
    <w:rsid w:val="186B15D6"/>
    <w:rsid w:val="186C1DBE"/>
    <w:rsid w:val="186C5153"/>
    <w:rsid w:val="186E738D"/>
    <w:rsid w:val="187640ED"/>
    <w:rsid w:val="18804AA7"/>
    <w:rsid w:val="188C4F53"/>
    <w:rsid w:val="189E5F7A"/>
    <w:rsid w:val="18A16B9A"/>
    <w:rsid w:val="18A94FC3"/>
    <w:rsid w:val="18AB1905"/>
    <w:rsid w:val="18AB7E3B"/>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50697"/>
    <w:rsid w:val="1A070D13"/>
    <w:rsid w:val="1A225E86"/>
    <w:rsid w:val="1A331203"/>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22C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7E2A1C"/>
    <w:rsid w:val="1B831B2B"/>
    <w:rsid w:val="1B944685"/>
    <w:rsid w:val="1BA258AE"/>
    <w:rsid w:val="1BA57F07"/>
    <w:rsid w:val="1BAA3905"/>
    <w:rsid w:val="1BB01F6E"/>
    <w:rsid w:val="1BB81DD8"/>
    <w:rsid w:val="1BB848C7"/>
    <w:rsid w:val="1BB86F3A"/>
    <w:rsid w:val="1BCA7505"/>
    <w:rsid w:val="1BD91032"/>
    <w:rsid w:val="1BF768CD"/>
    <w:rsid w:val="1BF92025"/>
    <w:rsid w:val="1BF93171"/>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03488"/>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946D7"/>
    <w:rsid w:val="1E1A6E77"/>
    <w:rsid w:val="1E1D7E95"/>
    <w:rsid w:val="1E201A27"/>
    <w:rsid w:val="1E224747"/>
    <w:rsid w:val="1E25501E"/>
    <w:rsid w:val="1E304B88"/>
    <w:rsid w:val="1E3E02E7"/>
    <w:rsid w:val="1E53475C"/>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47C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1FF9237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0E4165"/>
    <w:rsid w:val="22101F8E"/>
    <w:rsid w:val="221E498F"/>
    <w:rsid w:val="2225227E"/>
    <w:rsid w:val="22315922"/>
    <w:rsid w:val="22343124"/>
    <w:rsid w:val="223A219C"/>
    <w:rsid w:val="224E39DE"/>
    <w:rsid w:val="224E74D0"/>
    <w:rsid w:val="225C1E49"/>
    <w:rsid w:val="227F5037"/>
    <w:rsid w:val="228041D7"/>
    <w:rsid w:val="228A008B"/>
    <w:rsid w:val="228D63FC"/>
    <w:rsid w:val="22983CE9"/>
    <w:rsid w:val="229A7E25"/>
    <w:rsid w:val="22AA0362"/>
    <w:rsid w:val="22B059F5"/>
    <w:rsid w:val="22B06BDB"/>
    <w:rsid w:val="22BA2D5C"/>
    <w:rsid w:val="22BC7DF2"/>
    <w:rsid w:val="22BD19A6"/>
    <w:rsid w:val="22BD504B"/>
    <w:rsid w:val="22D61781"/>
    <w:rsid w:val="22E1667F"/>
    <w:rsid w:val="22E30977"/>
    <w:rsid w:val="22E95A8D"/>
    <w:rsid w:val="22F017B2"/>
    <w:rsid w:val="22F14708"/>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496DF5"/>
    <w:rsid w:val="23566DDF"/>
    <w:rsid w:val="23572E7E"/>
    <w:rsid w:val="235924CA"/>
    <w:rsid w:val="23592D87"/>
    <w:rsid w:val="235C66D7"/>
    <w:rsid w:val="235F162F"/>
    <w:rsid w:val="23673863"/>
    <w:rsid w:val="236A053E"/>
    <w:rsid w:val="236D4F13"/>
    <w:rsid w:val="23727CE0"/>
    <w:rsid w:val="237B7D6C"/>
    <w:rsid w:val="23837B67"/>
    <w:rsid w:val="23857493"/>
    <w:rsid w:val="238755B6"/>
    <w:rsid w:val="23885214"/>
    <w:rsid w:val="238B65DE"/>
    <w:rsid w:val="238D7AEF"/>
    <w:rsid w:val="239130F2"/>
    <w:rsid w:val="239B728F"/>
    <w:rsid w:val="23AE6E9E"/>
    <w:rsid w:val="23BB565D"/>
    <w:rsid w:val="23BD6F6C"/>
    <w:rsid w:val="23C62FD3"/>
    <w:rsid w:val="23C80F4A"/>
    <w:rsid w:val="23CB2B5D"/>
    <w:rsid w:val="23CE5D21"/>
    <w:rsid w:val="23D160BB"/>
    <w:rsid w:val="23D33566"/>
    <w:rsid w:val="23D9762E"/>
    <w:rsid w:val="23DF2C6B"/>
    <w:rsid w:val="23E52298"/>
    <w:rsid w:val="23E636DF"/>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B5D12"/>
    <w:rsid w:val="244F2484"/>
    <w:rsid w:val="24506BD9"/>
    <w:rsid w:val="24574CEB"/>
    <w:rsid w:val="245D41D2"/>
    <w:rsid w:val="245D4D8E"/>
    <w:rsid w:val="24667266"/>
    <w:rsid w:val="246B3103"/>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B67E3"/>
    <w:rsid w:val="254C4068"/>
    <w:rsid w:val="254E34FC"/>
    <w:rsid w:val="25515E07"/>
    <w:rsid w:val="25584ADE"/>
    <w:rsid w:val="255E0BEA"/>
    <w:rsid w:val="256343AC"/>
    <w:rsid w:val="25637836"/>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A336F"/>
    <w:rsid w:val="25CC4C1C"/>
    <w:rsid w:val="25CD7961"/>
    <w:rsid w:val="25D64403"/>
    <w:rsid w:val="25F51596"/>
    <w:rsid w:val="25F67042"/>
    <w:rsid w:val="260A55DA"/>
    <w:rsid w:val="260B255C"/>
    <w:rsid w:val="2611495B"/>
    <w:rsid w:val="2618762A"/>
    <w:rsid w:val="26217848"/>
    <w:rsid w:val="262E20E8"/>
    <w:rsid w:val="262E34C1"/>
    <w:rsid w:val="2640682F"/>
    <w:rsid w:val="26427C46"/>
    <w:rsid w:val="26472F6E"/>
    <w:rsid w:val="264F2FA3"/>
    <w:rsid w:val="26510DB8"/>
    <w:rsid w:val="26531A21"/>
    <w:rsid w:val="2656321F"/>
    <w:rsid w:val="26626905"/>
    <w:rsid w:val="26667EB2"/>
    <w:rsid w:val="266B1FB8"/>
    <w:rsid w:val="267B7FD0"/>
    <w:rsid w:val="267E518B"/>
    <w:rsid w:val="26872779"/>
    <w:rsid w:val="26874AF8"/>
    <w:rsid w:val="26993F8A"/>
    <w:rsid w:val="269B3F13"/>
    <w:rsid w:val="26A35676"/>
    <w:rsid w:val="26A4288C"/>
    <w:rsid w:val="26A63366"/>
    <w:rsid w:val="26A968B5"/>
    <w:rsid w:val="26AC5BFD"/>
    <w:rsid w:val="26BA59F2"/>
    <w:rsid w:val="26C36DE5"/>
    <w:rsid w:val="26C3702C"/>
    <w:rsid w:val="26C9404D"/>
    <w:rsid w:val="26CD53A8"/>
    <w:rsid w:val="26D323BB"/>
    <w:rsid w:val="26D45590"/>
    <w:rsid w:val="26D6403B"/>
    <w:rsid w:val="26E35D5D"/>
    <w:rsid w:val="26F40E3F"/>
    <w:rsid w:val="26F40EBD"/>
    <w:rsid w:val="26FA2DE3"/>
    <w:rsid w:val="26FF74CD"/>
    <w:rsid w:val="27121C64"/>
    <w:rsid w:val="27125B0D"/>
    <w:rsid w:val="27130E1A"/>
    <w:rsid w:val="27216BE7"/>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7FE6B04"/>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50716"/>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A11E9"/>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20BE3"/>
    <w:rsid w:val="2A8A27A6"/>
    <w:rsid w:val="2A8B1FCC"/>
    <w:rsid w:val="2A9303DF"/>
    <w:rsid w:val="2A9A66D4"/>
    <w:rsid w:val="2AA12DD3"/>
    <w:rsid w:val="2AA34D09"/>
    <w:rsid w:val="2AA420E7"/>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4558E"/>
    <w:rsid w:val="2B795BD8"/>
    <w:rsid w:val="2B8759DF"/>
    <w:rsid w:val="2B8B34AB"/>
    <w:rsid w:val="2B910166"/>
    <w:rsid w:val="2B914C5E"/>
    <w:rsid w:val="2BA252E6"/>
    <w:rsid w:val="2BAB1C20"/>
    <w:rsid w:val="2BB1162C"/>
    <w:rsid w:val="2BB44220"/>
    <w:rsid w:val="2BB61EA7"/>
    <w:rsid w:val="2BBA6EF5"/>
    <w:rsid w:val="2BC03979"/>
    <w:rsid w:val="2BC941AF"/>
    <w:rsid w:val="2BDC02CD"/>
    <w:rsid w:val="2BE64A3E"/>
    <w:rsid w:val="2BEC4F7F"/>
    <w:rsid w:val="2BF01DD3"/>
    <w:rsid w:val="2BF51B27"/>
    <w:rsid w:val="2C0E4194"/>
    <w:rsid w:val="2C11705A"/>
    <w:rsid w:val="2C1216FD"/>
    <w:rsid w:val="2C1F2C4F"/>
    <w:rsid w:val="2C253658"/>
    <w:rsid w:val="2C271A24"/>
    <w:rsid w:val="2C283204"/>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030F8"/>
    <w:rsid w:val="2D540857"/>
    <w:rsid w:val="2D590555"/>
    <w:rsid w:val="2D5C2B68"/>
    <w:rsid w:val="2D702784"/>
    <w:rsid w:val="2D726428"/>
    <w:rsid w:val="2D7A06F1"/>
    <w:rsid w:val="2D7B4DEF"/>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CD4836"/>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923027"/>
    <w:rsid w:val="2FA21231"/>
    <w:rsid w:val="2FA634DD"/>
    <w:rsid w:val="2FA84704"/>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4D2B9B"/>
    <w:rsid w:val="30500A5C"/>
    <w:rsid w:val="30752E77"/>
    <w:rsid w:val="308018A6"/>
    <w:rsid w:val="30804E19"/>
    <w:rsid w:val="3090288F"/>
    <w:rsid w:val="309B0CFB"/>
    <w:rsid w:val="309B2EEC"/>
    <w:rsid w:val="309E4272"/>
    <w:rsid w:val="30AE56DC"/>
    <w:rsid w:val="30B7307E"/>
    <w:rsid w:val="30B73869"/>
    <w:rsid w:val="30C21A0E"/>
    <w:rsid w:val="30CD3045"/>
    <w:rsid w:val="30DC45E8"/>
    <w:rsid w:val="30DD6027"/>
    <w:rsid w:val="30DE16AB"/>
    <w:rsid w:val="30E1221A"/>
    <w:rsid w:val="30E734EF"/>
    <w:rsid w:val="30F24AB3"/>
    <w:rsid w:val="30F44A95"/>
    <w:rsid w:val="30F77A98"/>
    <w:rsid w:val="30FA21D8"/>
    <w:rsid w:val="30FC2A23"/>
    <w:rsid w:val="310C4269"/>
    <w:rsid w:val="31197ABC"/>
    <w:rsid w:val="311D5B14"/>
    <w:rsid w:val="312D1F98"/>
    <w:rsid w:val="313A7B85"/>
    <w:rsid w:val="31454E97"/>
    <w:rsid w:val="314718DF"/>
    <w:rsid w:val="314A019C"/>
    <w:rsid w:val="314E27D6"/>
    <w:rsid w:val="31522034"/>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2A45"/>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2FD71B4"/>
    <w:rsid w:val="330244A4"/>
    <w:rsid w:val="330F1E44"/>
    <w:rsid w:val="33153FC5"/>
    <w:rsid w:val="331B37C6"/>
    <w:rsid w:val="331C390F"/>
    <w:rsid w:val="333A0536"/>
    <w:rsid w:val="333B2C95"/>
    <w:rsid w:val="333E0FE1"/>
    <w:rsid w:val="334D7767"/>
    <w:rsid w:val="33610DDA"/>
    <w:rsid w:val="3362171F"/>
    <w:rsid w:val="3366319E"/>
    <w:rsid w:val="33767D1F"/>
    <w:rsid w:val="337C31B4"/>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74637"/>
    <w:rsid w:val="344C08D2"/>
    <w:rsid w:val="34533617"/>
    <w:rsid w:val="345543D1"/>
    <w:rsid w:val="34591565"/>
    <w:rsid w:val="345A7367"/>
    <w:rsid w:val="345D2CD0"/>
    <w:rsid w:val="346C0AEA"/>
    <w:rsid w:val="347F540F"/>
    <w:rsid w:val="347F7C43"/>
    <w:rsid w:val="34863322"/>
    <w:rsid w:val="34885DB3"/>
    <w:rsid w:val="348F7A0E"/>
    <w:rsid w:val="349A0B7D"/>
    <w:rsid w:val="34A851E8"/>
    <w:rsid w:val="34B51A96"/>
    <w:rsid w:val="34C800BD"/>
    <w:rsid w:val="34CC1DC7"/>
    <w:rsid w:val="34D305DB"/>
    <w:rsid w:val="34D47C8A"/>
    <w:rsid w:val="34DB0CAC"/>
    <w:rsid w:val="34DD3DF9"/>
    <w:rsid w:val="34E972FC"/>
    <w:rsid w:val="34F83EF3"/>
    <w:rsid w:val="34F953E0"/>
    <w:rsid w:val="34FE2811"/>
    <w:rsid w:val="34FF2166"/>
    <w:rsid w:val="350B69C5"/>
    <w:rsid w:val="35102CEE"/>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970FC"/>
    <w:rsid w:val="35C10A5C"/>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56BF6"/>
    <w:rsid w:val="365955CF"/>
    <w:rsid w:val="365F765A"/>
    <w:rsid w:val="36627C0A"/>
    <w:rsid w:val="36693B36"/>
    <w:rsid w:val="366B0AAA"/>
    <w:rsid w:val="366B6257"/>
    <w:rsid w:val="366D49A8"/>
    <w:rsid w:val="36752210"/>
    <w:rsid w:val="36820E97"/>
    <w:rsid w:val="36884498"/>
    <w:rsid w:val="3690237A"/>
    <w:rsid w:val="36922B55"/>
    <w:rsid w:val="36991125"/>
    <w:rsid w:val="36A312B2"/>
    <w:rsid w:val="36A9265A"/>
    <w:rsid w:val="36B121C7"/>
    <w:rsid w:val="36B2486C"/>
    <w:rsid w:val="36BA14F4"/>
    <w:rsid w:val="36D009E5"/>
    <w:rsid w:val="36D27C18"/>
    <w:rsid w:val="36D512A9"/>
    <w:rsid w:val="36D934D3"/>
    <w:rsid w:val="36D94280"/>
    <w:rsid w:val="36DB6B9A"/>
    <w:rsid w:val="36E07ED3"/>
    <w:rsid w:val="36F414F3"/>
    <w:rsid w:val="37002C93"/>
    <w:rsid w:val="370974B4"/>
    <w:rsid w:val="370E6CCD"/>
    <w:rsid w:val="3716649F"/>
    <w:rsid w:val="371A5A8E"/>
    <w:rsid w:val="371B03AE"/>
    <w:rsid w:val="371E6151"/>
    <w:rsid w:val="37277663"/>
    <w:rsid w:val="372A07F2"/>
    <w:rsid w:val="37357964"/>
    <w:rsid w:val="373D6F58"/>
    <w:rsid w:val="37446333"/>
    <w:rsid w:val="37446A77"/>
    <w:rsid w:val="374D0B20"/>
    <w:rsid w:val="374E2E99"/>
    <w:rsid w:val="37557969"/>
    <w:rsid w:val="375D4473"/>
    <w:rsid w:val="37615F3C"/>
    <w:rsid w:val="376B106B"/>
    <w:rsid w:val="377963D6"/>
    <w:rsid w:val="378772DD"/>
    <w:rsid w:val="378A731A"/>
    <w:rsid w:val="378E3617"/>
    <w:rsid w:val="37931A90"/>
    <w:rsid w:val="37953CA7"/>
    <w:rsid w:val="37A4082B"/>
    <w:rsid w:val="37A4627C"/>
    <w:rsid w:val="37A530D5"/>
    <w:rsid w:val="37A643C8"/>
    <w:rsid w:val="37AE534B"/>
    <w:rsid w:val="37B1214B"/>
    <w:rsid w:val="37B5292C"/>
    <w:rsid w:val="37BA6351"/>
    <w:rsid w:val="37C93B72"/>
    <w:rsid w:val="37CE582E"/>
    <w:rsid w:val="37D644F2"/>
    <w:rsid w:val="37D647D6"/>
    <w:rsid w:val="37E22653"/>
    <w:rsid w:val="37E42338"/>
    <w:rsid w:val="37EE668C"/>
    <w:rsid w:val="37EF1B98"/>
    <w:rsid w:val="37F311D3"/>
    <w:rsid w:val="37F7242F"/>
    <w:rsid w:val="37F83D30"/>
    <w:rsid w:val="37FD1EC6"/>
    <w:rsid w:val="380579FE"/>
    <w:rsid w:val="380722E0"/>
    <w:rsid w:val="380A2EB4"/>
    <w:rsid w:val="38157509"/>
    <w:rsid w:val="381D5340"/>
    <w:rsid w:val="382150C9"/>
    <w:rsid w:val="382372FE"/>
    <w:rsid w:val="38284CDE"/>
    <w:rsid w:val="382A35AB"/>
    <w:rsid w:val="382D297A"/>
    <w:rsid w:val="382F19E6"/>
    <w:rsid w:val="383A0A88"/>
    <w:rsid w:val="383B2EED"/>
    <w:rsid w:val="383C7B95"/>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E3542"/>
    <w:rsid w:val="38BF2270"/>
    <w:rsid w:val="38C0788B"/>
    <w:rsid w:val="38C33701"/>
    <w:rsid w:val="38C43916"/>
    <w:rsid w:val="38D05F26"/>
    <w:rsid w:val="38D124F5"/>
    <w:rsid w:val="38D504F4"/>
    <w:rsid w:val="38D95A84"/>
    <w:rsid w:val="38E04CA8"/>
    <w:rsid w:val="38E11AA1"/>
    <w:rsid w:val="38E45926"/>
    <w:rsid w:val="38E46191"/>
    <w:rsid w:val="38E535EF"/>
    <w:rsid w:val="38EB7945"/>
    <w:rsid w:val="38F50C85"/>
    <w:rsid w:val="39065A02"/>
    <w:rsid w:val="390A1D30"/>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9FE3D81"/>
    <w:rsid w:val="3A026596"/>
    <w:rsid w:val="3A04252C"/>
    <w:rsid w:val="3A082ABE"/>
    <w:rsid w:val="3A0E766B"/>
    <w:rsid w:val="3A101C68"/>
    <w:rsid w:val="3A181AC2"/>
    <w:rsid w:val="3A1A155D"/>
    <w:rsid w:val="3A237175"/>
    <w:rsid w:val="3A2B4760"/>
    <w:rsid w:val="3A616CAD"/>
    <w:rsid w:val="3A711C68"/>
    <w:rsid w:val="3A7927E8"/>
    <w:rsid w:val="3A796E46"/>
    <w:rsid w:val="3A8A33CD"/>
    <w:rsid w:val="3A8B3C77"/>
    <w:rsid w:val="3A971F5B"/>
    <w:rsid w:val="3A9A224E"/>
    <w:rsid w:val="3A9C1F8C"/>
    <w:rsid w:val="3A9D2551"/>
    <w:rsid w:val="3AA15A8E"/>
    <w:rsid w:val="3AA90278"/>
    <w:rsid w:val="3AA97F70"/>
    <w:rsid w:val="3AAB23C8"/>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00386"/>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6510E"/>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758B2"/>
    <w:rsid w:val="3D0F1231"/>
    <w:rsid w:val="3D184661"/>
    <w:rsid w:val="3D200D7C"/>
    <w:rsid w:val="3D250930"/>
    <w:rsid w:val="3D272F24"/>
    <w:rsid w:val="3D47670E"/>
    <w:rsid w:val="3D491C8E"/>
    <w:rsid w:val="3D4D7CF8"/>
    <w:rsid w:val="3D58163A"/>
    <w:rsid w:val="3D5A05E2"/>
    <w:rsid w:val="3D5C63D4"/>
    <w:rsid w:val="3D5E50E6"/>
    <w:rsid w:val="3D5F6029"/>
    <w:rsid w:val="3D6223C0"/>
    <w:rsid w:val="3D7618FA"/>
    <w:rsid w:val="3D766E42"/>
    <w:rsid w:val="3D791797"/>
    <w:rsid w:val="3D832B00"/>
    <w:rsid w:val="3D8522AA"/>
    <w:rsid w:val="3D893B3D"/>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67869"/>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61DD0"/>
    <w:rsid w:val="3EAC3BDD"/>
    <w:rsid w:val="3EB767A1"/>
    <w:rsid w:val="3EBB7EC0"/>
    <w:rsid w:val="3EC31440"/>
    <w:rsid w:val="3EC5174F"/>
    <w:rsid w:val="3EC51CAD"/>
    <w:rsid w:val="3EC807F2"/>
    <w:rsid w:val="3EC80A9D"/>
    <w:rsid w:val="3ECD06E3"/>
    <w:rsid w:val="3ECF0F50"/>
    <w:rsid w:val="3ECF234A"/>
    <w:rsid w:val="3ED671CD"/>
    <w:rsid w:val="3EDB4B48"/>
    <w:rsid w:val="3EE14A57"/>
    <w:rsid w:val="3EE21263"/>
    <w:rsid w:val="3EF36AD8"/>
    <w:rsid w:val="3EF62480"/>
    <w:rsid w:val="3EFB57DC"/>
    <w:rsid w:val="3F0572F1"/>
    <w:rsid w:val="3F0963BE"/>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CB2B90"/>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222EF"/>
    <w:rsid w:val="406A55A3"/>
    <w:rsid w:val="406D461C"/>
    <w:rsid w:val="406F7D87"/>
    <w:rsid w:val="40825FDB"/>
    <w:rsid w:val="408326A8"/>
    <w:rsid w:val="40836EAD"/>
    <w:rsid w:val="40896211"/>
    <w:rsid w:val="40907287"/>
    <w:rsid w:val="409238F2"/>
    <w:rsid w:val="40953EC0"/>
    <w:rsid w:val="40A85158"/>
    <w:rsid w:val="40AB3054"/>
    <w:rsid w:val="40BD153A"/>
    <w:rsid w:val="40C3250A"/>
    <w:rsid w:val="40CB1E59"/>
    <w:rsid w:val="40CD7BD8"/>
    <w:rsid w:val="40CE24AF"/>
    <w:rsid w:val="40D07371"/>
    <w:rsid w:val="40D72999"/>
    <w:rsid w:val="40DA4703"/>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5F431C"/>
    <w:rsid w:val="416279BA"/>
    <w:rsid w:val="41653B51"/>
    <w:rsid w:val="416C15E7"/>
    <w:rsid w:val="416E039C"/>
    <w:rsid w:val="416E1B43"/>
    <w:rsid w:val="417727AB"/>
    <w:rsid w:val="41784098"/>
    <w:rsid w:val="41800377"/>
    <w:rsid w:val="41804025"/>
    <w:rsid w:val="418B26ED"/>
    <w:rsid w:val="41931531"/>
    <w:rsid w:val="419668B8"/>
    <w:rsid w:val="41986119"/>
    <w:rsid w:val="419C5C61"/>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008D8"/>
    <w:rsid w:val="422370F9"/>
    <w:rsid w:val="42294221"/>
    <w:rsid w:val="422C32BD"/>
    <w:rsid w:val="422E207E"/>
    <w:rsid w:val="422F6870"/>
    <w:rsid w:val="423038F8"/>
    <w:rsid w:val="424255E1"/>
    <w:rsid w:val="424A277B"/>
    <w:rsid w:val="424C701C"/>
    <w:rsid w:val="42571AE1"/>
    <w:rsid w:val="42697E79"/>
    <w:rsid w:val="42716A8D"/>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043FC"/>
    <w:rsid w:val="43426A44"/>
    <w:rsid w:val="434660C5"/>
    <w:rsid w:val="43605DCC"/>
    <w:rsid w:val="43614CEE"/>
    <w:rsid w:val="43621947"/>
    <w:rsid w:val="4363090C"/>
    <w:rsid w:val="43664819"/>
    <w:rsid w:val="436A2192"/>
    <w:rsid w:val="436C40C2"/>
    <w:rsid w:val="436F187B"/>
    <w:rsid w:val="4372336A"/>
    <w:rsid w:val="43892EC1"/>
    <w:rsid w:val="438B6310"/>
    <w:rsid w:val="439322F0"/>
    <w:rsid w:val="43964600"/>
    <w:rsid w:val="4397231A"/>
    <w:rsid w:val="439C3431"/>
    <w:rsid w:val="439D0E7C"/>
    <w:rsid w:val="43A26A83"/>
    <w:rsid w:val="43A45ECB"/>
    <w:rsid w:val="43BB0AE6"/>
    <w:rsid w:val="43C0281C"/>
    <w:rsid w:val="43D10A40"/>
    <w:rsid w:val="43D519BE"/>
    <w:rsid w:val="43D67A91"/>
    <w:rsid w:val="43E21F58"/>
    <w:rsid w:val="43E35EF0"/>
    <w:rsid w:val="43F76F69"/>
    <w:rsid w:val="43F90FED"/>
    <w:rsid w:val="43FC0DB2"/>
    <w:rsid w:val="440417AE"/>
    <w:rsid w:val="440C5D56"/>
    <w:rsid w:val="44141914"/>
    <w:rsid w:val="44174583"/>
    <w:rsid w:val="441A5200"/>
    <w:rsid w:val="4425456D"/>
    <w:rsid w:val="44393BD3"/>
    <w:rsid w:val="444109FB"/>
    <w:rsid w:val="444E22EA"/>
    <w:rsid w:val="44584267"/>
    <w:rsid w:val="44615F3C"/>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BF0262"/>
    <w:rsid w:val="44C43057"/>
    <w:rsid w:val="44C80121"/>
    <w:rsid w:val="44C87C0F"/>
    <w:rsid w:val="44D7659E"/>
    <w:rsid w:val="44DF6F1B"/>
    <w:rsid w:val="44E54BDC"/>
    <w:rsid w:val="44E92DF3"/>
    <w:rsid w:val="44F82D0E"/>
    <w:rsid w:val="450353FE"/>
    <w:rsid w:val="451C5E9C"/>
    <w:rsid w:val="452C5F0A"/>
    <w:rsid w:val="45335459"/>
    <w:rsid w:val="453579B0"/>
    <w:rsid w:val="45385EDA"/>
    <w:rsid w:val="454036A6"/>
    <w:rsid w:val="45424F58"/>
    <w:rsid w:val="45446179"/>
    <w:rsid w:val="454E0AAC"/>
    <w:rsid w:val="454E4F75"/>
    <w:rsid w:val="454E6B7A"/>
    <w:rsid w:val="45507783"/>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DD0CF0"/>
    <w:rsid w:val="45E37678"/>
    <w:rsid w:val="45E526A6"/>
    <w:rsid w:val="45E66893"/>
    <w:rsid w:val="45E826B2"/>
    <w:rsid w:val="45F4334C"/>
    <w:rsid w:val="460D3781"/>
    <w:rsid w:val="461B39D6"/>
    <w:rsid w:val="461D0267"/>
    <w:rsid w:val="46312362"/>
    <w:rsid w:val="463714CE"/>
    <w:rsid w:val="46466453"/>
    <w:rsid w:val="464871AD"/>
    <w:rsid w:val="465918B0"/>
    <w:rsid w:val="4662020E"/>
    <w:rsid w:val="46674D87"/>
    <w:rsid w:val="466C1CB9"/>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60612"/>
    <w:rsid w:val="473D0BD8"/>
    <w:rsid w:val="47457188"/>
    <w:rsid w:val="47504011"/>
    <w:rsid w:val="475F470F"/>
    <w:rsid w:val="47644CFB"/>
    <w:rsid w:val="47666951"/>
    <w:rsid w:val="47683159"/>
    <w:rsid w:val="476A7D07"/>
    <w:rsid w:val="477E1ACC"/>
    <w:rsid w:val="478962D3"/>
    <w:rsid w:val="479766B4"/>
    <w:rsid w:val="479A472B"/>
    <w:rsid w:val="479D7800"/>
    <w:rsid w:val="479E6293"/>
    <w:rsid w:val="479E7C57"/>
    <w:rsid w:val="47AA1593"/>
    <w:rsid w:val="47B44BED"/>
    <w:rsid w:val="47BC3466"/>
    <w:rsid w:val="47D730B6"/>
    <w:rsid w:val="47DA3479"/>
    <w:rsid w:val="47DD6A91"/>
    <w:rsid w:val="47E44CD4"/>
    <w:rsid w:val="47EB0853"/>
    <w:rsid w:val="47EB5BFA"/>
    <w:rsid w:val="47FA20F9"/>
    <w:rsid w:val="47FF3A74"/>
    <w:rsid w:val="4808002C"/>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1A6CC0"/>
    <w:rsid w:val="49224F55"/>
    <w:rsid w:val="49241D45"/>
    <w:rsid w:val="4929748F"/>
    <w:rsid w:val="492F1F4E"/>
    <w:rsid w:val="4935171C"/>
    <w:rsid w:val="49366254"/>
    <w:rsid w:val="493A0176"/>
    <w:rsid w:val="49432B91"/>
    <w:rsid w:val="494502AA"/>
    <w:rsid w:val="49535C21"/>
    <w:rsid w:val="495B528B"/>
    <w:rsid w:val="495C3370"/>
    <w:rsid w:val="49622214"/>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9827C7"/>
    <w:rsid w:val="4AA456B8"/>
    <w:rsid w:val="4AA75186"/>
    <w:rsid w:val="4AB113DF"/>
    <w:rsid w:val="4ABB3CDE"/>
    <w:rsid w:val="4AC4256B"/>
    <w:rsid w:val="4AC860DD"/>
    <w:rsid w:val="4AD162A8"/>
    <w:rsid w:val="4AD25C89"/>
    <w:rsid w:val="4AD768C6"/>
    <w:rsid w:val="4ADC63E2"/>
    <w:rsid w:val="4AE0796F"/>
    <w:rsid w:val="4AF902F5"/>
    <w:rsid w:val="4AF94D42"/>
    <w:rsid w:val="4B0107DC"/>
    <w:rsid w:val="4B1C679E"/>
    <w:rsid w:val="4B205D7D"/>
    <w:rsid w:val="4B28587C"/>
    <w:rsid w:val="4B292683"/>
    <w:rsid w:val="4B294C7C"/>
    <w:rsid w:val="4B376E2E"/>
    <w:rsid w:val="4B385AE2"/>
    <w:rsid w:val="4B3D5656"/>
    <w:rsid w:val="4B3F4861"/>
    <w:rsid w:val="4B50566A"/>
    <w:rsid w:val="4B53122B"/>
    <w:rsid w:val="4B571002"/>
    <w:rsid w:val="4B5912E9"/>
    <w:rsid w:val="4B5D1DDE"/>
    <w:rsid w:val="4B5F22F5"/>
    <w:rsid w:val="4B683C6A"/>
    <w:rsid w:val="4B693E49"/>
    <w:rsid w:val="4B705844"/>
    <w:rsid w:val="4B7224D0"/>
    <w:rsid w:val="4B731C20"/>
    <w:rsid w:val="4B774607"/>
    <w:rsid w:val="4B7A3C96"/>
    <w:rsid w:val="4B7D4F5D"/>
    <w:rsid w:val="4B82716C"/>
    <w:rsid w:val="4B857EC6"/>
    <w:rsid w:val="4B8829C1"/>
    <w:rsid w:val="4B8A2918"/>
    <w:rsid w:val="4B901807"/>
    <w:rsid w:val="4B9B25E4"/>
    <w:rsid w:val="4B9E314D"/>
    <w:rsid w:val="4BA07044"/>
    <w:rsid w:val="4BAD4CA2"/>
    <w:rsid w:val="4BC456EF"/>
    <w:rsid w:val="4BC647B0"/>
    <w:rsid w:val="4BD94F2A"/>
    <w:rsid w:val="4BDF4B49"/>
    <w:rsid w:val="4BE57E16"/>
    <w:rsid w:val="4BE819D0"/>
    <w:rsid w:val="4BE8649D"/>
    <w:rsid w:val="4BF11752"/>
    <w:rsid w:val="4C0236B4"/>
    <w:rsid w:val="4C0C091F"/>
    <w:rsid w:val="4C170C9D"/>
    <w:rsid w:val="4C192F75"/>
    <w:rsid w:val="4C1C0BD6"/>
    <w:rsid w:val="4C1E085C"/>
    <w:rsid w:val="4C1E7AAC"/>
    <w:rsid w:val="4C20259F"/>
    <w:rsid w:val="4C312ECF"/>
    <w:rsid w:val="4C422CA7"/>
    <w:rsid w:val="4C427C5C"/>
    <w:rsid w:val="4C5035A1"/>
    <w:rsid w:val="4C583A7B"/>
    <w:rsid w:val="4C5F0B5D"/>
    <w:rsid w:val="4C606F33"/>
    <w:rsid w:val="4C6426ED"/>
    <w:rsid w:val="4C64471A"/>
    <w:rsid w:val="4C6555B4"/>
    <w:rsid w:val="4C681280"/>
    <w:rsid w:val="4C6A0DB1"/>
    <w:rsid w:val="4C6C2FE2"/>
    <w:rsid w:val="4C6D5BD4"/>
    <w:rsid w:val="4C716D6B"/>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4186B"/>
    <w:rsid w:val="4DD776ED"/>
    <w:rsid w:val="4DDF6E13"/>
    <w:rsid w:val="4DE60E50"/>
    <w:rsid w:val="4DEB4734"/>
    <w:rsid w:val="4DEF33CD"/>
    <w:rsid w:val="4DEF76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94621"/>
    <w:rsid w:val="4F2C365D"/>
    <w:rsid w:val="4F335248"/>
    <w:rsid w:val="4F376D93"/>
    <w:rsid w:val="4F3A607A"/>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54DB3"/>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53638"/>
    <w:rsid w:val="50363B3A"/>
    <w:rsid w:val="503D2073"/>
    <w:rsid w:val="503D5373"/>
    <w:rsid w:val="504261AC"/>
    <w:rsid w:val="504311C0"/>
    <w:rsid w:val="504B1149"/>
    <w:rsid w:val="5052029B"/>
    <w:rsid w:val="505F1426"/>
    <w:rsid w:val="506309DB"/>
    <w:rsid w:val="50752AF6"/>
    <w:rsid w:val="50771C00"/>
    <w:rsid w:val="508A668E"/>
    <w:rsid w:val="50910C5A"/>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71916"/>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2713"/>
    <w:rsid w:val="5195533B"/>
    <w:rsid w:val="519645E3"/>
    <w:rsid w:val="5199124A"/>
    <w:rsid w:val="519D2F03"/>
    <w:rsid w:val="51AD6F40"/>
    <w:rsid w:val="51BE2EAE"/>
    <w:rsid w:val="51C0716E"/>
    <w:rsid w:val="51C24631"/>
    <w:rsid w:val="51D43598"/>
    <w:rsid w:val="51DA51E8"/>
    <w:rsid w:val="51DA5890"/>
    <w:rsid w:val="51DD5120"/>
    <w:rsid w:val="51E90CD5"/>
    <w:rsid w:val="51EE7B3E"/>
    <w:rsid w:val="51F51BD1"/>
    <w:rsid w:val="51F60D3F"/>
    <w:rsid w:val="51F96848"/>
    <w:rsid w:val="52073487"/>
    <w:rsid w:val="520A7B89"/>
    <w:rsid w:val="520B42A0"/>
    <w:rsid w:val="520E648E"/>
    <w:rsid w:val="521C5D43"/>
    <w:rsid w:val="521D7ED7"/>
    <w:rsid w:val="5239194F"/>
    <w:rsid w:val="52612620"/>
    <w:rsid w:val="526478E1"/>
    <w:rsid w:val="526A546C"/>
    <w:rsid w:val="52790FD9"/>
    <w:rsid w:val="52887A7D"/>
    <w:rsid w:val="52894DE6"/>
    <w:rsid w:val="528C5E23"/>
    <w:rsid w:val="52993DA6"/>
    <w:rsid w:val="529B5EE8"/>
    <w:rsid w:val="529F0D9B"/>
    <w:rsid w:val="52B776CF"/>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169DB"/>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8523E"/>
    <w:rsid w:val="541942B6"/>
    <w:rsid w:val="541B6ED4"/>
    <w:rsid w:val="5426006D"/>
    <w:rsid w:val="54272DD2"/>
    <w:rsid w:val="542A3FEF"/>
    <w:rsid w:val="542A5504"/>
    <w:rsid w:val="542F7A60"/>
    <w:rsid w:val="54346136"/>
    <w:rsid w:val="5452765B"/>
    <w:rsid w:val="54550067"/>
    <w:rsid w:val="54580F5A"/>
    <w:rsid w:val="5478695B"/>
    <w:rsid w:val="54814B4F"/>
    <w:rsid w:val="54860559"/>
    <w:rsid w:val="548810E8"/>
    <w:rsid w:val="54906088"/>
    <w:rsid w:val="54907EF0"/>
    <w:rsid w:val="549438A5"/>
    <w:rsid w:val="54953A99"/>
    <w:rsid w:val="549C4F36"/>
    <w:rsid w:val="549C6534"/>
    <w:rsid w:val="54A14490"/>
    <w:rsid w:val="54A153FA"/>
    <w:rsid w:val="54AB29C5"/>
    <w:rsid w:val="54AB36A1"/>
    <w:rsid w:val="54B171C4"/>
    <w:rsid w:val="54B61DA8"/>
    <w:rsid w:val="54B62C99"/>
    <w:rsid w:val="54CC47C4"/>
    <w:rsid w:val="54DF688B"/>
    <w:rsid w:val="54E95643"/>
    <w:rsid w:val="5504799B"/>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84DA4"/>
    <w:rsid w:val="565B61BB"/>
    <w:rsid w:val="566510CB"/>
    <w:rsid w:val="567215D4"/>
    <w:rsid w:val="567A6CC0"/>
    <w:rsid w:val="567E4F7B"/>
    <w:rsid w:val="568D0940"/>
    <w:rsid w:val="56902B88"/>
    <w:rsid w:val="56927DA4"/>
    <w:rsid w:val="569929BC"/>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63ED6"/>
    <w:rsid w:val="575A2017"/>
    <w:rsid w:val="575C5FBB"/>
    <w:rsid w:val="57685F5D"/>
    <w:rsid w:val="57692A18"/>
    <w:rsid w:val="576D6DDF"/>
    <w:rsid w:val="57702374"/>
    <w:rsid w:val="57780ED4"/>
    <w:rsid w:val="577E3A90"/>
    <w:rsid w:val="57886A0D"/>
    <w:rsid w:val="57896321"/>
    <w:rsid w:val="57934987"/>
    <w:rsid w:val="57967AE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84D93"/>
    <w:rsid w:val="58DB456A"/>
    <w:rsid w:val="58E909DD"/>
    <w:rsid w:val="58EB1C90"/>
    <w:rsid w:val="58F57D12"/>
    <w:rsid w:val="59267EF0"/>
    <w:rsid w:val="59352298"/>
    <w:rsid w:val="59376E4C"/>
    <w:rsid w:val="59421F7E"/>
    <w:rsid w:val="59424509"/>
    <w:rsid w:val="594935F2"/>
    <w:rsid w:val="594C2750"/>
    <w:rsid w:val="595C0946"/>
    <w:rsid w:val="59604A5E"/>
    <w:rsid w:val="59642A7A"/>
    <w:rsid w:val="596C3315"/>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51BD8"/>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582B"/>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0E4964"/>
    <w:rsid w:val="5C135532"/>
    <w:rsid w:val="5C1832F4"/>
    <w:rsid w:val="5C1A3044"/>
    <w:rsid w:val="5C3B2DCF"/>
    <w:rsid w:val="5C500AF8"/>
    <w:rsid w:val="5C523483"/>
    <w:rsid w:val="5C5348B4"/>
    <w:rsid w:val="5C5E033F"/>
    <w:rsid w:val="5C6875EE"/>
    <w:rsid w:val="5C6F12DC"/>
    <w:rsid w:val="5C7A2919"/>
    <w:rsid w:val="5C890156"/>
    <w:rsid w:val="5CB045DB"/>
    <w:rsid w:val="5CBF4297"/>
    <w:rsid w:val="5CC43404"/>
    <w:rsid w:val="5CC93DAE"/>
    <w:rsid w:val="5CD31EE3"/>
    <w:rsid w:val="5CE1654F"/>
    <w:rsid w:val="5CE47CF9"/>
    <w:rsid w:val="5CF70E19"/>
    <w:rsid w:val="5CFF1DCD"/>
    <w:rsid w:val="5D00730C"/>
    <w:rsid w:val="5D072BC8"/>
    <w:rsid w:val="5D076525"/>
    <w:rsid w:val="5D0A3A75"/>
    <w:rsid w:val="5D19384D"/>
    <w:rsid w:val="5D22473A"/>
    <w:rsid w:val="5D2B5629"/>
    <w:rsid w:val="5D315CEB"/>
    <w:rsid w:val="5D3926A3"/>
    <w:rsid w:val="5D3B59DF"/>
    <w:rsid w:val="5D473075"/>
    <w:rsid w:val="5D475E41"/>
    <w:rsid w:val="5D4822EE"/>
    <w:rsid w:val="5D5463BB"/>
    <w:rsid w:val="5D5864DB"/>
    <w:rsid w:val="5D73393B"/>
    <w:rsid w:val="5D76353B"/>
    <w:rsid w:val="5D784379"/>
    <w:rsid w:val="5D7B3457"/>
    <w:rsid w:val="5D8A3F64"/>
    <w:rsid w:val="5D8B2715"/>
    <w:rsid w:val="5D8D250E"/>
    <w:rsid w:val="5D915AFD"/>
    <w:rsid w:val="5D9404A9"/>
    <w:rsid w:val="5D9A23F4"/>
    <w:rsid w:val="5D9F6617"/>
    <w:rsid w:val="5D9F7C74"/>
    <w:rsid w:val="5DAE2E8C"/>
    <w:rsid w:val="5DAE7F34"/>
    <w:rsid w:val="5DB65502"/>
    <w:rsid w:val="5DD60BBD"/>
    <w:rsid w:val="5DD66D11"/>
    <w:rsid w:val="5DD70750"/>
    <w:rsid w:val="5DE44DF4"/>
    <w:rsid w:val="5DF26709"/>
    <w:rsid w:val="5E00720B"/>
    <w:rsid w:val="5E012896"/>
    <w:rsid w:val="5E072A7F"/>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9505D"/>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B7B75"/>
    <w:rsid w:val="60DC7836"/>
    <w:rsid w:val="60DE0DB6"/>
    <w:rsid w:val="60E54273"/>
    <w:rsid w:val="60E90C7E"/>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9D0DF9"/>
    <w:rsid w:val="61A4486B"/>
    <w:rsid w:val="61A509A5"/>
    <w:rsid w:val="61B33DDF"/>
    <w:rsid w:val="61BB4A1B"/>
    <w:rsid w:val="61BC23E5"/>
    <w:rsid w:val="61CD3107"/>
    <w:rsid w:val="61D21120"/>
    <w:rsid w:val="61E609D3"/>
    <w:rsid w:val="61E728F9"/>
    <w:rsid w:val="61F3667F"/>
    <w:rsid w:val="61F43F82"/>
    <w:rsid w:val="61FB110C"/>
    <w:rsid w:val="620B2B74"/>
    <w:rsid w:val="620B5602"/>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7F6ACA"/>
    <w:rsid w:val="628B35B0"/>
    <w:rsid w:val="628E7C9B"/>
    <w:rsid w:val="6295194F"/>
    <w:rsid w:val="6299295E"/>
    <w:rsid w:val="629A07BC"/>
    <w:rsid w:val="62A00AD7"/>
    <w:rsid w:val="62A33CA7"/>
    <w:rsid w:val="62B94634"/>
    <w:rsid w:val="62BA3B2B"/>
    <w:rsid w:val="62C170F8"/>
    <w:rsid w:val="62C37511"/>
    <w:rsid w:val="62D11C3F"/>
    <w:rsid w:val="62E157FC"/>
    <w:rsid w:val="62E81148"/>
    <w:rsid w:val="62F76986"/>
    <w:rsid w:val="62FA3D7F"/>
    <w:rsid w:val="63074CE8"/>
    <w:rsid w:val="631360BB"/>
    <w:rsid w:val="63184819"/>
    <w:rsid w:val="631A130A"/>
    <w:rsid w:val="631D2EE5"/>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43F3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0F556B"/>
    <w:rsid w:val="6411454E"/>
    <w:rsid w:val="642144AB"/>
    <w:rsid w:val="64214E5C"/>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63590"/>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07313"/>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C324A0"/>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1C44"/>
    <w:rsid w:val="677E2FA1"/>
    <w:rsid w:val="67836FB1"/>
    <w:rsid w:val="678A12A7"/>
    <w:rsid w:val="678A44B2"/>
    <w:rsid w:val="678C1D52"/>
    <w:rsid w:val="678D19D7"/>
    <w:rsid w:val="67973403"/>
    <w:rsid w:val="67A67078"/>
    <w:rsid w:val="67AC341B"/>
    <w:rsid w:val="67AF1128"/>
    <w:rsid w:val="67B42C3D"/>
    <w:rsid w:val="67C149C0"/>
    <w:rsid w:val="67C7295E"/>
    <w:rsid w:val="67C7427D"/>
    <w:rsid w:val="67CA7967"/>
    <w:rsid w:val="67CC38C5"/>
    <w:rsid w:val="67D808BE"/>
    <w:rsid w:val="67D9695E"/>
    <w:rsid w:val="67DC5CEA"/>
    <w:rsid w:val="67DF18A0"/>
    <w:rsid w:val="67E024C8"/>
    <w:rsid w:val="67E84B8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27437"/>
    <w:rsid w:val="685465AC"/>
    <w:rsid w:val="685A3007"/>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5330A"/>
    <w:rsid w:val="69BA2288"/>
    <w:rsid w:val="69BB7CE2"/>
    <w:rsid w:val="69D2134C"/>
    <w:rsid w:val="69D537ED"/>
    <w:rsid w:val="69DC3AC1"/>
    <w:rsid w:val="69E2668A"/>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B464B"/>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83F97"/>
    <w:rsid w:val="6B206205"/>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8474C4"/>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4D2EC5"/>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72847"/>
    <w:rsid w:val="6D385ED1"/>
    <w:rsid w:val="6D3967DF"/>
    <w:rsid w:val="6D3C14B2"/>
    <w:rsid w:val="6D436625"/>
    <w:rsid w:val="6D4720E6"/>
    <w:rsid w:val="6D4A7F79"/>
    <w:rsid w:val="6D4B7436"/>
    <w:rsid w:val="6D5E64E8"/>
    <w:rsid w:val="6D652ED0"/>
    <w:rsid w:val="6D662717"/>
    <w:rsid w:val="6D663299"/>
    <w:rsid w:val="6D6F36AA"/>
    <w:rsid w:val="6D770FC8"/>
    <w:rsid w:val="6D7D5646"/>
    <w:rsid w:val="6D816186"/>
    <w:rsid w:val="6D90338E"/>
    <w:rsid w:val="6D925740"/>
    <w:rsid w:val="6D9D3EE4"/>
    <w:rsid w:val="6D9E7C69"/>
    <w:rsid w:val="6DA0371C"/>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C60FE"/>
    <w:rsid w:val="6E4E0EC4"/>
    <w:rsid w:val="6E561494"/>
    <w:rsid w:val="6E567CD0"/>
    <w:rsid w:val="6E633CB5"/>
    <w:rsid w:val="6E7106EF"/>
    <w:rsid w:val="6E72570E"/>
    <w:rsid w:val="6E785A45"/>
    <w:rsid w:val="6E796FC0"/>
    <w:rsid w:val="6EA50434"/>
    <w:rsid w:val="6EA630F1"/>
    <w:rsid w:val="6EAB29FB"/>
    <w:rsid w:val="6EB32B7F"/>
    <w:rsid w:val="6EB46F18"/>
    <w:rsid w:val="6EB63507"/>
    <w:rsid w:val="6EBD4DFF"/>
    <w:rsid w:val="6EC23093"/>
    <w:rsid w:val="6EC23231"/>
    <w:rsid w:val="6EC310A5"/>
    <w:rsid w:val="6EC43237"/>
    <w:rsid w:val="6EC73357"/>
    <w:rsid w:val="6ED163C0"/>
    <w:rsid w:val="6ED266F7"/>
    <w:rsid w:val="6EE939F2"/>
    <w:rsid w:val="6EEC7776"/>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D63CAF"/>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3F7DC5"/>
    <w:rsid w:val="704A6916"/>
    <w:rsid w:val="70680AC8"/>
    <w:rsid w:val="70684400"/>
    <w:rsid w:val="7069750A"/>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03235"/>
    <w:rsid w:val="70E47264"/>
    <w:rsid w:val="70EA5D33"/>
    <w:rsid w:val="70F00944"/>
    <w:rsid w:val="70F04773"/>
    <w:rsid w:val="70F074FC"/>
    <w:rsid w:val="710524E2"/>
    <w:rsid w:val="710A1B87"/>
    <w:rsid w:val="710B03C6"/>
    <w:rsid w:val="711604AB"/>
    <w:rsid w:val="711B144F"/>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D59FD"/>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3E11F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0188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05E01"/>
    <w:rsid w:val="736411CC"/>
    <w:rsid w:val="73690216"/>
    <w:rsid w:val="736A02D8"/>
    <w:rsid w:val="73724F6D"/>
    <w:rsid w:val="73893467"/>
    <w:rsid w:val="738A36E1"/>
    <w:rsid w:val="73912A81"/>
    <w:rsid w:val="73970334"/>
    <w:rsid w:val="739B1EFF"/>
    <w:rsid w:val="73A16D22"/>
    <w:rsid w:val="73B1400F"/>
    <w:rsid w:val="73B411F9"/>
    <w:rsid w:val="73B7366A"/>
    <w:rsid w:val="73B955A0"/>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743A5"/>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8089F"/>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6A40D4"/>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4698B"/>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7A6487"/>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4489"/>
    <w:rsid w:val="78F40C87"/>
    <w:rsid w:val="78F66B5A"/>
    <w:rsid w:val="78FC7FC2"/>
    <w:rsid w:val="79042DE3"/>
    <w:rsid w:val="790C7237"/>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9D2C43"/>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16CB1"/>
    <w:rsid w:val="79F30A3A"/>
    <w:rsid w:val="79FB2D0B"/>
    <w:rsid w:val="7A052E17"/>
    <w:rsid w:val="7A097B67"/>
    <w:rsid w:val="7A0F1525"/>
    <w:rsid w:val="7A157806"/>
    <w:rsid w:val="7A262C2D"/>
    <w:rsid w:val="7A291938"/>
    <w:rsid w:val="7A3D7CC0"/>
    <w:rsid w:val="7A4006D3"/>
    <w:rsid w:val="7A4D07BA"/>
    <w:rsid w:val="7A5863D3"/>
    <w:rsid w:val="7A5C5FAF"/>
    <w:rsid w:val="7A5E19DC"/>
    <w:rsid w:val="7A634604"/>
    <w:rsid w:val="7A64499E"/>
    <w:rsid w:val="7A6656B6"/>
    <w:rsid w:val="7A723F72"/>
    <w:rsid w:val="7A743D9C"/>
    <w:rsid w:val="7A7D2556"/>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E25460"/>
    <w:rsid w:val="7AF9607E"/>
    <w:rsid w:val="7AFF6F46"/>
    <w:rsid w:val="7B18546A"/>
    <w:rsid w:val="7B1B467F"/>
    <w:rsid w:val="7B1F59AA"/>
    <w:rsid w:val="7B214978"/>
    <w:rsid w:val="7B391012"/>
    <w:rsid w:val="7B450468"/>
    <w:rsid w:val="7B4A5781"/>
    <w:rsid w:val="7B4E09BF"/>
    <w:rsid w:val="7B603C7C"/>
    <w:rsid w:val="7B6325A0"/>
    <w:rsid w:val="7B65590F"/>
    <w:rsid w:val="7B6E2AB1"/>
    <w:rsid w:val="7B771CED"/>
    <w:rsid w:val="7B7C1A5E"/>
    <w:rsid w:val="7B841287"/>
    <w:rsid w:val="7B9422CC"/>
    <w:rsid w:val="7B966673"/>
    <w:rsid w:val="7BA22D26"/>
    <w:rsid w:val="7BA521BC"/>
    <w:rsid w:val="7BA63294"/>
    <w:rsid w:val="7BAA2B37"/>
    <w:rsid w:val="7BAB7079"/>
    <w:rsid w:val="7BB145C1"/>
    <w:rsid w:val="7BB2241E"/>
    <w:rsid w:val="7BB64107"/>
    <w:rsid w:val="7BB95E3B"/>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11D94"/>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592B73"/>
    <w:rsid w:val="7D64087E"/>
    <w:rsid w:val="7D69117D"/>
    <w:rsid w:val="7D69474C"/>
    <w:rsid w:val="7D696CB2"/>
    <w:rsid w:val="7D77778B"/>
    <w:rsid w:val="7D7A555A"/>
    <w:rsid w:val="7D7F5298"/>
    <w:rsid w:val="7D8362BA"/>
    <w:rsid w:val="7D8B7B11"/>
    <w:rsid w:val="7DA843EE"/>
    <w:rsid w:val="7DAB10BD"/>
    <w:rsid w:val="7DB94AF2"/>
    <w:rsid w:val="7DBF2E7A"/>
    <w:rsid w:val="7DC63BFE"/>
    <w:rsid w:val="7DC86C38"/>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52b4164-c7f5-46b0-8266-293a950291af}"/>
        <w:style w:val=""/>
        <w:category>
          <w:name w:val="General"/>
          <w:gallery w:val="placeholder"/>
        </w:category>
        <w:types>
          <w:type w:val="bbPlcHdr"/>
        </w:types>
        <w:behaviors>
          <w:behavior w:val="content"/>
        </w:behaviors>
        <w:description w:val=""/>
        <w:guid w:val="{c52b4164-c7f5-46b0-8266-293a950291af}"/>
      </w:docPartPr>
      <w:docPartBody>
        <w:p>
          <w:pPr>
            <w:pStyle w:val="1"/>
          </w:pPr>
          <w:r>
            <w:rPr>
              <w:rStyle w:val="2"/>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99" w:name="Placeholder Text"/>
  </w:latentStyles>
  <w:style w:type="paragraph" w:customStyle="1" w:styleId="1">
    <w:name w:val="E6FED2D7AE43401F92114675146CEC55"/>
    <w:qFormat/>
    <w:uiPriority w:val="0"/>
    <w:pPr>
      <w:spacing w:after="160" w:line="259" w:lineRule="auto"/>
    </w:pPr>
    <w:rPr>
      <w:rFonts w:asciiTheme="minorHAnsi" w:hAnsiTheme="minorHAnsi" w:eastAsiaTheme="minorEastAsia" w:cstheme="minorBidi"/>
      <w:sz w:val="22"/>
      <w:szCs w:val="22"/>
      <w:lang w:val="en-US" w:eastAsia="ko-KR" w:bidi="ar-SA"/>
    </w:rPr>
  </w:style>
  <w:style w:type="character" w:styleId="2">
    <w:name w:val="Placeholder Text"/>
    <w:semiHidden/>
    <w:uiPriority w:val="99"/>
    <w:rPr>
      <w:color w:val="808080"/>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2023-04-10T13:31:33Z</dcterms:modified>
  <dc:title>TR 38.859 v100: Study on expanded and improved NR positioning</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